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7D" w:rsidRPr="000139BB" w:rsidRDefault="006B484A" w:rsidP="00B53276">
      <w:pPr>
        <w:pStyle w:val="Body1"/>
        <w:suppressAutoHyphens/>
        <w:spacing w:line="270" w:lineRule="exact"/>
        <w:rPr>
          <w:rFonts w:ascii="Arial" w:hAnsi="Arial" w:cs="Arial"/>
          <w:sz w:val="20"/>
          <w:lang w:val="en-GB"/>
        </w:rPr>
      </w:pPr>
      <w:r>
        <w:rPr>
          <w:rFonts w:ascii="Arial" w:hAnsi="Arial" w:cs="Arial"/>
          <w:sz w:val="20"/>
          <w:lang w:val="en-GB"/>
        </w:rPr>
        <w:t>Bucharest</w:t>
      </w:r>
      <w:r w:rsidR="00D4537D" w:rsidRPr="000139BB">
        <w:rPr>
          <w:rFonts w:ascii="Arial" w:hAnsi="Arial" w:cs="Arial"/>
          <w:sz w:val="20"/>
          <w:lang w:val="en-GB"/>
        </w:rPr>
        <w:t xml:space="preserve">, </w:t>
      </w:r>
      <w:r>
        <w:rPr>
          <w:rFonts w:ascii="Arial" w:hAnsi="Arial" w:cs="Arial"/>
          <w:sz w:val="20"/>
          <w:lang w:val="en-GB"/>
        </w:rPr>
        <w:t>4</w:t>
      </w:r>
      <w:r w:rsidR="00BA3ADA" w:rsidRPr="00BA3ADA">
        <w:rPr>
          <w:rFonts w:ascii="Arial" w:hAnsi="Arial" w:cs="Arial"/>
          <w:sz w:val="20"/>
          <w:vertAlign w:val="superscript"/>
          <w:lang w:val="en-GB"/>
        </w:rPr>
        <w:t>th</w:t>
      </w:r>
      <w:r w:rsidR="00BA3ADA">
        <w:rPr>
          <w:rFonts w:ascii="Arial" w:hAnsi="Arial" w:cs="Arial"/>
          <w:sz w:val="20"/>
          <w:lang w:val="en-GB"/>
        </w:rPr>
        <w:t xml:space="preserve"> </w:t>
      </w:r>
      <w:r>
        <w:rPr>
          <w:rFonts w:ascii="Arial" w:hAnsi="Arial" w:cs="Arial"/>
          <w:sz w:val="20"/>
          <w:lang w:val="en-GB"/>
        </w:rPr>
        <w:t>June</w:t>
      </w:r>
      <w:r w:rsidR="00E91365" w:rsidRPr="000139BB">
        <w:rPr>
          <w:rFonts w:ascii="Arial" w:hAnsi="Arial" w:cs="Arial"/>
          <w:sz w:val="20"/>
          <w:lang w:val="en-GB"/>
        </w:rPr>
        <w:t xml:space="preserve"> 2015</w:t>
      </w:r>
    </w:p>
    <w:p w:rsidR="00D4537D" w:rsidRDefault="00D4537D" w:rsidP="00B53276">
      <w:pPr>
        <w:pStyle w:val="Body1"/>
        <w:suppressAutoHyphens/>
        <w:spacing w:line="270" w:lineRule="exact"/>
        <w:rPr>
          <w:rFonts w:ascii="Arial" w:hAnsi="Arial" w:cs="Arial"/>
          <w:b/>
          <w:sz w:val="20"/>
          <w:lang w:val="en-GB"/>
        </w:rPr>
      </w:pPr>
    </w:p>
    <w:p w:rsidR="006B484A" w:rsidRPr="000139BB" w:rsidRDefault="006B484A" w:rsidP="00B53276">
      <w:pPr>
        <w:pStyle w:val="Body1"/>
        <w:suppressAutoHyphens/>
        <w:spacing w:line="270" w:lineRule="exact"/>
        <w:rPr>
          <w:rFonts w:ascii="Arial" w:hAnsi="Arial" w:cs="Arial"/>
          <w:b/>
          <w:sz w:val="20"/>
          <w:lang w:val="en-GB"/>
        </w:rPr>
      </w:pPr>
    </w:p>
    <w:p w:rsidR="00D4537D" w:rsidRPr="006B484A" w:rsidRDefault="00E33AFE" w:rsidP="006B484A">
      <w:pPr>
        <w:pStyle w:val="Body1"/>
        <w:suppressAutoHyphens/>
        <w:spacing w:line="270" w:lineRule="exact"/>
        <w:jc w:val="center"/>
        <w:rPr>
          <w:rFonts w:ascii="Arial" w:hAnsi="Arial" w:cs="Arial"/>
          <w:b/>
          <w:sz w:val="22"/>
          <w:szCs w:val="26"/>
          <w:lang w:val="en-GB"/>
        </w:rPr>
      </w:pPr>
      <w:r w:rsidRPr="006B484A">
        <w:rPr>
          <w:rFonts w:ascii="Arial" w:hAnsi="Arial" w:cs="Arial"/>
          <w:b/>
          <w:sz w:val="22"/>
          <w:szCs w:val="26"/>
          <w:lang w:val="en-GB"/>
        </w:rPr>
        <w:t xml:space="preserve">Business insolvencies in </w:t>
      </w:r>
      <w:r w:rsidR="00B9397F" w:rsidRPr="006B484A">
        <w:rPr>
          <w:rFonts w:ascii="Arial" w:hAnsi="Arial" w:cs="Arial"/>
          <w:b/>
          <w:sz w:val="22"/>
          <w:szCs w:val="26"/>
          <w:lang w:val="en-GB"/>
        </w:rPr>
        <w:t xml:space="preserve">France </w:t>
      </w:r>
      <w:r w:rsidRPr="006B484A">
        <w:rPr>
          <w:rFonts w:ascii="Arial" w:hAnsi="Arial" w:cs="Arial"/>
          <w:b/>
          <w:sz w:val="22"/>
          <w:szCs w:val="26"/>
          <w:lang w:val="en-GB"/>
        </w:rPr>
        <w:t xml:space="preserve">at the end of April </w:t>
      </w:r>
      <w:r w:rsidR="00B9397F" w:rsidRPr="006B484A">
        <w:rPr>
          <w:rFonts w:ascii="Arial" w:hAnsi="Arial" w:cs="Arial"/>
          <w:b/>
          <w:sz w:val="22"/>
          <w:szCs w:val="26"/>
          <w:lang w:val="en-GB"/>
        </w:rPr>
        <w:t>2015</w:t>
      </w:r>
      <w:r w:rsidR="00E80E6F" w:rsidRPr="006B484A">
        <w:rPr>
          <w:rFonts w:ascii="Arial" w:hAnsi="Arial" w:cs="Arial"/>
          <w:b/>
          <w:sz w:val="22"/>
          <w:szCs w:val="26"/>
          <w:lang w:val="en-GB"/>
        </w:rPr>
        <w:t>:</w:t>
      </w:r>
    </w:p>
    <w:p w:rsidR="00E80E6F" w:rsidRPr="006B484A" w:rsidRDefault="00E33AFE" w:rsidP="006B484A">
      <w:pPr>
        <w:pStyle w:val="Body1"/>
        <w:suppressAutoHyphens/>
        <w:spacing w:line="270" w:lineRule="exact"/>
        <w:jc w:val="center"/>
        <w:rPr>
          <w:rFonts w:ascii="Arial" w:hAnsi="Arial" w:cs="Arial"/>
          <w:b/>
          <w:sz w:val="22"/>
          <w:szCs w:val="26"/>
          <w:lang w:val="en-GB"/>
        </w:rPr>
      </w:pPr>
      <w:r w:rsidRPr="006B484A">
        <w:rPr>
          <w:rFonts w:ascii="Arial" w:hAnsi="Arial" w:cs="Arial"/>
          <w:b/>
          <w:sz w:val="22"/>
          <w:szCs w:val="26"/>
          <w:lang w:val="en-GB"/>
        </w:rPr>
        <w:t>The numbers continue to slowly</w:t>
      </w:r>
      <w:r w:rsidR="00C00392" w:rsidRPr="006B484A">
        <w:rPr>
          <w:rFonts w:ascii="Arial" w:hAnsi="Arial" w:cs="Arial"/>
          <w:b/>
          <w:sz w:val="22"/>
          <w:szCs w:val="26"/>
          <w:lang w:val="en-GB"/>
        </w:rPr>
        <w:t xml:space="preserve"> improve</w:t>
      </w:r>
      <w:r w:rsidRPr="006B484A">
        <w:rPr>
          <w:rFonts w:ascii="Arial" w:hAnsi="Arial" w:cs="Arial"/>
          <w:b/>
          <w:sz w:val="22"/>
          <w:szCs w:val="26"/>
          <w:lang w:val="en-GB"/>
        </w:rPr>
        <w:t xml:space="preserve">, at </w:t>
      </w:r>
      <w:r w:rsidR="009B0B88" w:rsidRPr="006B484A">
        <w:rPr>
          <w:rFonts w:ascii="Arial" w:hAnsi="Arial" w:cs="Arial"/>
          <w:b/>
          <w:sz w:val="22"/>
          <w:szCs w:val="26"/>
          <w:lang w:val="en-GB"/>
        </w:rPr>
        <w:t>-</w:t>
      </w:r>
      <w:r w:rsidR="00E80E6F" w:rsidRPr="006B484A">
        <w:rPr>
          <w:rFonts w:ascii="Arial" w:hAnsi="Arial" w:cs="Arial"/>
          <w:b/>
          <w:sz w:val="22"/>
          <w:szCs w:val="26"/>
          <w:lang w:val="en-GB"/>
        </w:rPr>
        <w:t>2</w:t>
      </w:r>
      <w:r w:rsidRPr="006B484A">
        <w:rPr>
          <w:rFonts w:ascii="Arial" w:hAnsi="Arial" w:cs="Arial"/>
          <w:b/>
          <w:sz w:val="22"/>
          <w:szCs w:val="26"/>
          <w:lang w:val="en-GB"/>
        </w:rPr>
        <w:t>.</w:t>
      </w:r>
      <w:r w:rsidR="00E80E6F" w:rsidRPr="006B484A">
        <w:rPr>
          <w:rFonts w:ascii="Arial" w:hAnsi="Arial" w:cs="Arial"/>
          <w:b/>
          <w:sz w:val="22"/>
          <w:szCs w:val="26"/>
          <w:lang w:val="en-GB"/>
        </w:rPr>
        <w:t>7%</w:t>
      </w:r>
      <w:r w:rsidR="009B0B88" w:rsidRPr="006B484A">
        <w:rPr>
          <w:rFonts w:ascii="Arial" w:hAnsi="Arial" w:cs="Arial"/>
          <w:b/>
          <w:sz w:val="22"/>
          <w:szCs w:val="26"/>
          <w:lang w:val="en-GB"/>
        </w:rPr>
        <w:t xml:space="preserve"> </w:t>
      </w:r>
      <w:r w:rsidRPr="006B484A">
        <w:rPr>
          <w:rFonts w:ascii="Arial" w:hAnsi="Arial" w:cs="Arial"/>
          <w:b/>
          <w:sz w:val="22"/>
          <w:szCs w:val="26"/>
          <w:lang w:val="en-GB"/>
        </w:rPr>
        <w:t>on a year</w:t>
      </w:r>
    </w:p>
    <w:p w:rsidR="00D4537D" w:rsidRDefault="00D4537D" w:rsidP="00B53276">
      <w:pPr>
        <w:pStyle w:val="Default"/>
        <w:spacing w:line="270" w:lineRule="exact"/>
        <w:jc w:val="both"/>
        <w:rPr>
          <w:sz w:val="20"/>
          <w:szCs w:val="20"/>
          <w:lang w:val="en-GB"/>
        </w:rPr>
      </w:pPr>
    </w:p>
    <w:p w:rsidR="006B484A" w:rsidRPr="000139BB" w:rsidRDefault="006B484A" w:rsidP="00B53276">
      <w:pPr>
        <w:pStyle w:val="Default"/>
        <w:spacing w:line="270" w:lineRule="exact"/>
        <w:jc w:val="both"/>
        <w:rPr>
          <w:sz w:val="20"/>
          <w:szCs w:val="20"/>
          <w:lang w:val="en-GB"/>
        </w:rPr>
      </w:pPr>
    </w:p>
    <w:p w:rsidR="00BB2CC9" w:rsidRPr="006B484A" w:rsidRDefault="00E33AFE" w:rsidP="00B53276">
      <w:pPr>
        <w:suppressAutoHyphens/>
        <w:autoSpaceDE w:val="0"/>
        <w:autoSpaceDN w:val="0"/>
        <w:adjustRightInd w:val="0"/>
        <w:spacing w:line="270" w:lineRule="exact"/>
        <w:jc w:val="both"/>
        <w:rPr>
          <w:rFonts w:ascii="Arial" w:hAnsi="Arial" w:cs="Arial"/>
          <w:b/>
          <w:bCs/>
          <w:sz w:val="20"/>
          <w:szCs w:val="22"/>
          <w:lang w:val="en-GB"/>
        </w:rPr>
      </w:pPr>
      <w:r w:rsidRPr="006B484A">
        <w:rPr>
          <w:rFonts w:ascii="Arial" w:hAnsi="Arial" w:cs="Arial"/>
          <w:b/>
          <w:bCs/>
          <w:sz w:val="20"/>
          <w:szCs w:val="22"/>
          <w:lang w:val="en-GB"/>
        </w:rPr>
        <w:t xml:space="preserve">The favourable </w:t>
      </w:r>
      <w:r w:rsidR="00C00392" w:rsidRPr="006B484A">
        <w:rPr>
          <w:rFonts w:ascii="Arial" w:hAnsi="Arial" w:cs="Arial"/>
          <w:b/>
          <w:bCs/>
          <w:sz w:val="20"/>
          <w:szCs w:val="22"/>
          <w:lang w:val="en-GB"/>
        </w:rPr>
        <w:t xml:space="preserve">swing </w:t>
      </w:r>
      <w:r w:rsidRPr="006B484A">
        <w:rPr>
          <w:rFonts w:ascii="Arial" w:hAnsi="Arial" w:cs="Arial"/>
          <w:b/>
          <w:bCs/>
          <w:sz w:val="20"/>
          <w:szCs w:val="22"/>
          <w:lang w:val="en-GB"/>
        </w:rPr>
        <w:t>first seen i</w:t>
      </w:r>
      <w:r w:rsidR="00E80E6F" w:rsidRPr="006B484A">
        <w:rPr>
          <w:rFonts w:ascii="Arial" w:hAnsi="Arial" w:cs="Arial"/>
          <w:b/>
          <w:bCs/>
          <w:sz w:val="20"/>
          <w:szCs w:val="22"/>
          <w:lang w:val="en-GB"/>
        </w:rPr>
        <w:t>n 2014</w:t>
      </w:r>
      <w:r w:rsidR="0083217A" w:rsidRPr="006B484A">
        <w:rPr>
          <w:rFonts w:ascii="Arial" w:hAnsi="Arial" w:cs="Arial"/>
          <w:b/>
          <w:bCs/>
          <w:sz w:val="20"/>
          <w:szCs w:val="22"/>
          <w:lang w:val="en-GB"/>
        </w:rPr>
        <w:t xml:space="preserve"> </w:t>
      </w:r>
      <w:r w:rsidRPr="006B484A">
        <w:rPr>
          <w:rFonts w:ascii="Arial" w:hAnsi="Arial" w:cs="Arial"/>
          <w:b/>
          <w:bCs/>
          <w:sz w:val="20"/>
          <w:szCs w:val="22"/>
          <w:lang w:val="en-GB"/>
        </w:rPr>
        <w:t xml:space="preserve">continues. The immediate rise in </w:t>
      </w:r>
      <w:r w:rsidR="004E3399" w:rsidRPr="006B484A">
        <w:rPr>
          <w:rFonts w:ascii="Arial" w:hAnsi="Arial" w:cs="Arial"/>
          <w:b/>
          <w:bCs/>
          <w:sz w:val="20"/>
          <w:szCs w:val="22"/>
          <w:lang w:val="en-GB"/>
        </w:rPr>
        <w:t xml:space="preserve">business insolvencies </w:t>
      </w:r>
      <w:r w:rsidRPr="006B484A">
        <w:rPr>
          <w:rFonts w:ascii="Arial" w:hAnsi="Arial" w:cs="Arial"/>
          <w:b/>
          <w:bCs/>
          <w:sz w:val="20"/>
          <w:szCs w:val="22"/>
          <w:lang w:val="en-GB"/>
        </w:rPr>
        <w:t xml:space="preserve">in the first four months </w:t>
      </w:r>
      <w:r w:rsidR="00C00392" w:rsidRPr="006B484A">
        <w:rPr>
          <w:rFonts w:ascii="Arial" w:hAnsi="Arial" w:cs="Arial"/>
          <w:b/>
          <w:bCs/>
          <w:sz w:val="20"/>
          <w:szCs w:val="22"/>
          <w:lang w:val="en-GB"/>
        </w:rPr>
        <w:t>was</w:t>
      </w:r>
      <w:r w:rsidRPr="006B484A">
        <w:rPr>
          <w:rFonts w:ascii="Arial" w:hAnsi="Arial" w:cs="Arial"/>
          <w:b/>
          <w:bCs/>
          <w:sz w:val="20"/>
          <w:szCs w:val="22"/>
          <w:lang w:val="en-GB"/>
        </w:rPr>
        <w:t xml:space="preserve"> partly due to a catching up after the artificially low year-end data, </w:t>
      </w:r>
      <w:r w:rsidR="00C00392" w:rsidRPr="006B484A">
        <w:rPr>
          <w:rFonts w:ascii="Arial" w:hAnsi="Arial" w:cs="Arial"/>
          <w:b/>
          <w:bCs/>
          <w:sz w:val="20"/>
          <w:szCs w:val="22"/>
          <w:lang w:val="en-GB"/>
        </w:rPr>
        <w:t xml:space="preserve">because </w:t>
      </w:r>
      <w:r w:rsidRPr="006B484A">
        <w:rPr>
          <w:rFonts w:ascii="Arial" w:hAnsi="Arial" w:cs="Arial"/>
          <w:b/>
          <w:bCs/>
          <w:sz w:val="20"/>
          <w:szCs w:val="22"/>
          <w:lang w:val="en-GB"/>
        </w:rPr>
        <w:t xml:space="preserve">of the industrial action within the court system, which has </w:t>
      </w:r>
      <w:r w:rsidR="00C17458" w:rsidRPr="006B484A">
        <w:rPr>
          <w:rFonts w:ascii="Arial" w:hAnsi="Arial" w:cs="Arial"/>
          <w:b/>
          <w:bCs/>
          <w:sz w:val="20"/>
          <w:szCs w:val="22"/>
          <w:lang w:val="en-GB"/>
        </w:rPr>
        <w:t xml:space="preserve">however resurfaced </w:t>
      </w:r>
      <w:r w:rsidRPr="006B484A">
        <w:rPr>
          <w:rFonts w:ascii="Arial" w:hAnsi="Arial" w:cs="Arial"/>
          <w:b/>
          <w:bCs/>
          <w:sz w:val="20"/>
          <w:szCs w:val="22"/>
          <w:lang w:val="en-GB"/>
        </w:rPr>
        <w:t>in May</w:t>
      </w:r>
      <w:r w:rsidR="00306305" w:rsidRPr="006B484A">
        <w:rPr>
          <w:rFonts w:ascii="Arial" w:hAnsi="Arial" w:cs="Arial"/>
          <w:b/>
          <w:bCs/>
          <w:sz w:val="20"/>
          <w:szCs w:val="22"/>
          <w:lang w:val="en-GB"/>
        </w:rPr>
        <w:t>.</w:t>
      </w:r>
    </w:p>
    <w:p w:rsidR="0038399A" w:rsidRPr="006B484A" w:rsidRDefault="0038399A" w:rsidP="00B53276">
      <w:pPr>
        <w:suppressAutoHyphens/>
        <w:autoSpaceDE w:val="0"/>
        <w:autoSpaceDN w:val="0"/>
        <w:adjustRightInd w:val="0"/>
        <w:spacing w:line="270" w:lineRule="exact"/>
        <w:jc w:val="both"/>
        <w:rPr>
          <w:rFonts w:ascii="Arial" w:hAnsi="Arial" w:cs="Arial"/>
          <w:bCs/>
          <w:sz w:val="18"/>
          <w:szCs w:val="20"/>
          <w:lang w:val="en-GB"/>
        </w:rPr>
      </w:pPr>
    </w:p>
    <w:p w:rsidR="00E51740" w:rsidRPr="006B484A" w:rsidRDefault="001675B9" w:rsidP="00D86ECE">
      <w:pPr>
        <w:suppressAutoHyphens/>
        <w:autoSpaceDE w:val="0"/>
        <w:autoSpaceDN w:val="0"/>
        <w:adjustRightInd w:val="0"/>
        <w:spacing w:line="270" w:lineRule="exact"/>
        <w:jc w:val="both"/>
        <w:rPr>
          <w:rFonts w:ascii="Arial" w:hAnsi="Arial" w:cs="Arial"/>
          <w:b/>
          <w:bCs/>
          <w:sz w:val="20"/>
          <w:szCs w:val="22"/>
          <w:lang w:val="en-GB"/>
        </w:rPr>
      </w:pPr>
      <w:r w:rsidRPr="006B484A">
        <w:rPr>
          <w:rFonts w:ascii="Arial" w:hAnsi="Arial" w:cs="Arial"/>
          <w:b/>
          <w:bCs/>
          <w:sz w:val="20"/>
          <w:szCs w:val="22"/>
          <w:lang w:val="en-GB"/>
        </w:rPr>
        <w:t>Although</w:t>
      </w:r>
      <w:r w:rsidR="00E33AFE" w:rsidRPr="006B484A">
        <w:rPr>
          <w:rFonts w:ascii="Arial" w:hAnsi="Arial" w:cs="Arial"/>
          <w:b/>
          <w:bCs/>
          <w:sz w:val="20"/>
          <w:szCs w:val="22"/>
          <w:lang w:val="en-GB"/>
        </w:rPr>
        <w:t xml:space="preserve"> the strike action </w:t>
      </w:r>
      <w:r w:rsidRPr="006B484A">
        <w:rPr>
          <w:rFonts w:ascii="Arial" w:hAnsi="Arial" w:cs="Arial"/>
          <w:b/>
          <w:bCs/>
          <w:sz w:val="20"/>
          <w:szCs w:val="22"/>
          <w:lang w:val="en-GB"/>
        </w:rPr>
        <w:t>in</w:t>
      </w:r>
      <w:r w:rsidR="00E33AFE" w:rsidRPr="006B484A">
        <w:rPr>
          <w:rFonts w:ascii="Arial" w:hAnsi="Arial" w:cs="Arial"/>
          <w:b/>
          <w:bCs/>
          <w:sz w:val="20"/>
          <w:szCs w:val="22"/>
          <w:lang w:val="en-GB"/>
        </w:rPr>
        <w:t xml:space="preserve"> the Commercial Tribunals </w:t>
      </w:r>
      <w:r w:rsidRPr="006B484A">
        <w:rPr>
          <w:rFonts w:ascii="Arial" w:hAnsi="Arial" w:cs="Arial"/>
          <w:b/>
          <w:bCs/>
          <w:sz w:val="20"/>
          <w:szCs w:val="22"/>
          <w:lang w:val="en-GB"/>
        </w:rPr>
        <w:t>caused certain</w:t>
      </w:r>
      <w:r w:rsidR="00E33AFE" w:rsidRPr="006B484A">
        <w:rPr>
          <w:rFonts w:ascii="Arial" w:hAnsi="Arial" w:cs="Arial"/>
          <w:b/>
          <w:bCs/>
          <w:sz w:val="20"/>
          <w:szCs w:val="22"/>
          <w:lang w:val="en-GB"/>
        </w:rPr>
        <w:t xml:space="preserve"> volatility, the trend remains down</w:t>
      </w:r>
    </w:p>
    <w:p w:rsidR="00BB2CC9" w:rsidRPr="000139BB" w:rsidRDefault="00BB2CC9" w:rsidP="00D86ECE">
      <w:pPr>
        <w:suppressAutoHyphens/>
        <w:autoSpaceDE w:val="0"/>
        <w:autoSpaceDN w:val="0"/>
        <w:adjustRightInd w:val="0"/>
        <w:spacing w:line="270" w:lineRule="exact"/>
        <w:jc w:val="both"/>
        <w:rPr>
          <w:rFonts w:ascii="Arial" w:hAnsi="Arial" w:cs="Arial"/>
          <w:b/>
          <w:bCs/>
          <w:sz w:val="20"/>
          <w:szCs w:val="20"/>
          <w:lang w:val="en-GB"/>
        </w:rPr>
      </w:pPr>
    </w:p>
    <w:p w:rsidR="002D7043" w:rsidRPr="000139BB" w:rsidRDefault="00F37E79" w:rsidP="00D86ECE">
      <w:pPr>
        <w:suppressAutoHyphens/>
        <w:autoSpaceDE w:val="0"/>
        <w:autoSpaceDN w:val="0"/>
        <w:adjustRightInd w:val="0"/>
        <w:spacing w:line="270" w:lineRule="exact"/>
        <w:jc w:val="both"/>
        <w:rPr>
          <w:rFonts w:ascii="Arial" w:hAnsi="Arial" w:cs="Arial"/>
          <w:bCs/>
          <w:sz w:val="20"/>
          <w:szCs w:val="20"/>
          <w:lang w:val="en-GB"/>
        </w:rPr>
      </w:pPr>
      <w:r w:rsidRPr="000139BB">
        <w:rPr>
          <w:noProof/>
          <w:lang w:val="ro-RO" w:eastAsia="ro-RO"/>
        </w:rPr>
        <w:drawing>
          <wp:anchor distT="0" distB="0" distL="114300" distR="114300" simplePos="0" relativeHeight="251664384" behindDoc="0" locked="0" layoutInCell="1" allowOverlap="1" wp14:anchorId="0223E1BA" wp14:editId="3597469B">
            <wp:simplePos x="0" y="0"/>
            <wp:positionH relativeFrom="column">
              <wp:posOffset>-71755</wp:posOffset>
            </wp:positionH>
            <wp:positionV relativeFrom="paragraph">
              <wp:posOffset>992505</wp:posOffset>
            </wp:positionV>
            <wp:extent cx="2962910" cy="2190750"/>
            <wp:effectExtent l="0" t="0" r="88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0422" t="17882" r="53961" b="48726"/>
                    <a:stretch/>
                  </pic:blipFill>
                  <pic:spPr bwMode="auto">
                    <a:xfrm>
                      <a:off x="0" y="0"/>
                      <a:ext cx="296291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399">
        <w:rPr>
          <w:rFonts w:ascii="Arial" w:hAnsi="Arial" w:cs="Arial"/>
          <w:bCs/>
          <w:sz w:val="20"/>
          <w:szCs w:val="20"/>
          <w:lang w:val="en-GB"/>
        </w:rPr>
        <w:t>Year</w:t>
      </w:r>
      <w:r w:rsidR="001675B9">
        <w:rPr>
          <w:rFonts w:ascii="Arial" w:hAnsi="Arial" w:cs="Arial"/>
          <w:bCs/>
          <w:sz w:val="20"/>
          <w:szCs w:val="20"/>
          <w:lang w:val="en-GB"/>
        </w:rPr>
        <w:t>-</w:t>
      </w:r>
      <w:r w:rsidR="004E3399">
        <w:rPr>
          <w:rFonts w:ascii="Arial" w:hAnsi="Arial" w:cs="Arial"/>
          <w:bCs/>
          <w:sz w:val="20"/>
          <w:szCs w:val="20"/>
          <w:lang w:val="en-GB"/>
        </w:rPr>
        <w:t>on</w:t>
      </w:r>
      <w:r w:rsidR="001675B9">
        <w:rPr>
          <w:rFonts w:ascii="Arial" w:hAnsi="Arial" w:cs="Arial"/>
          <w:bCs/>
          <w:sz w:val="20"/>
          <w:szCs w:val="20"/>
          <w:lang w:val="en-GB"/>
        </w:rPr>
        <w:t>-</w:t>
      </w:r>
      <w:r w:rsidR="004E3399">
        <w:rPr>
          <w:rFonts w:ascii="Arial" w:hAnsi="Arial" w:cs="Arial"/>
          <w:bCs/>
          <w:sz w:val="20"/>
          <w:szCs w:val="20"/>
          <w:lang w:val="en-GB"/>
        </w:rPr>
        <w:t xml:space="preserve">year to end April </w:t>
      </w:r>
      <w:r w:rsidRPr="000139BB">
        <w:rPr>
          <w:rFonts w:ascii="Arial" w:hAnsi="Arial" w:cs="Arial"/>
          <w:bCs/>
          <w:sz w:val="20"/>
          <w:szCs w:val="20"/>
          <w:lang w:val="en-GB"/>
        </w:rPr>
        <w:t xml:space="preserve">2015, </w:t>
      </w:r>
      <w:r w:rsidR="0058685A">
        <w:rPr>
          <w:rFonts w:ascii="Arial" w:hAnsi="Arial" w:cs="Arial"/>
          <w:bCs/>
          <w:sz w:val="20"/>
          <w:szCs w:val="20"/>
          <w:lang w:val="en-GB"/>
        </w:rPr>
        <w:t>the</w:t>
      </w:r>
      <w:r w:rsidR="001675B9">
        <w:rPr>
          <w:rFonts w:ascii="Arial" w:hAnsi="Arial" w:cs="Arial"/>
          <w:bCs/>
          <w:sz w:val="20"/>
          <w:szCs w:val="20"/>
          <w:lang w:val="en-GB"/>
        </w:rPr>
        <w:t xml:space="preserve"> number of business insolvencies declined at a rate </w:t>
      </w:r>
      <w:r w:rsidR="0058685A">
        <w:rPr>
          <w:rFonts w:ascii="Arial" w:hAnsi="Arial" w:cs="Arial"/>
          <w:bCs/>
          <w:sz w:val="20"/>
          <w:szCs w:val="20"/>
          <w:lang w:val="en-GB"/>
        </w:rPr>
        <w:t xml:space="preserve">comparable to that at the end of </w:t>
      </w:r>
      <w:r w:rsidR="0083217A" w:rsidRPr="000139BB">
        <w:rPr>
          <w:rFonts w:ascii="Arial" w:hAnsi="Arial" w:cs="Arial"/>
          <w:bCs/>
          <w:sz w:val="20"/>
          <w:szCs w:val="20"/>
          <w:lang w:val="en-GB"/>
        </w:rPr>
        <w:t>2014:</w:t>
      </w:r>
      <w:r w:rsidR="002D7043" w:rsidRPr="000139BB">
        <w:rPr>
          <w:rFonts w:ascii="Arial" w:hAnsi="Arial" w:cs="Arial"/>
          <w:bCs/>
          <w:sz w:val="20"/>
          <w:szCs w:val="20"/>
          <w:lang w:val="en-GB"/>
        </w:rPr>
        <w:t xml:space="preserve"> -2</w:t>
      </w:r>
      <w:r w:rsidR="0058685A">
        <w:rPr>
          <w:rFonts w:ascii="Arial" w:hAnsi="Arial" w:cs="Arial"/>
          <w:bCs/>
          <w:sz w:val="20"/>
          <w:szCs w:val="20"/>
          <w:lang w:val="en-GB"/>
        </w:rPr>
        <w:t>.</w:t>
      </w:r>
      <w:r w:rsidR="002D7043" w:rsidRPr="000139BB">
        <w:rPr>
          <w:rFonts w:ascii="Arial" w:hAnsi="Arial" w:cs="Arial"/>
          <w:bCs/>
          <w:sz w:val="20"/>
          <w:szCs w:val="20"/>
          <w:lang w:val="en-GB"/>
        </w:rPr>
        <w:t>7% (</w:t>
      </w:r>
      <w:r w:rsidR="0058685A">
        <w:rPr>
          <w:rFonts w:ascii="Arial" w:hAnsi="Arial" w:cs="Arial"/>
          <w:bCs/>
          <w:sz w:val="20"/>
          <w:szCs w:val="20"/>
          <w:lang w:val="en-GB"/>
        </w:rPr>
        <w:t xml:space="preserve">following </w:t>
      </w:r>
      <w:r w:rsidR="002D7043" w:rsidRPr="000139BB">
        <w:rPr>
          <w:rFonts w:ascii="Arial" w:hAnsi="Arial" w:cs="Arial"/>
          <w:bCs/>
          <w:sz w:val="20"/>
          <w:szCs w:val="20"/>
          <w:lang w:val="en-GB"/>
        </w:rPr>
        <w:t>-2</w:t>
      </w:r>
      <w:r w:rsidR="0058685A">
        <w:rPr>
          <w:rFonts w:ascii="Arial" w:hAnsi="Arial" w:cs="Arial"/>
          <w:bCs/>
          <w:sz w:val="20"/>
          <w:szCs w:val="20"/>
          <w:lang w:val="en-GB"/>
        </w:rPr>
        <w:t>.</w:t>
      </w:r>
      <w:r w:rsidR="002D7043" w:rsidRPr="000139BB">
        <w:rPr>
          <w:rFonts w:ascii="Arial" w:hAnsi="Arial" w:cs="Arial"/>
          <w:bCs/>
          <w:sz w:val="20"/>
          <w:szCs w:val="20"/>
          <w:lang w:val="en-GB"/>
        </w:rPr>
        <w:t xml:space="preserve">9% </w:t>
      </w:r>
      <w:r w:rsidR="0058685A">
        <w:rPr>
          <w:rFonts w:ascii="Arial" w:hAnsi="Arial" w:cs="Arial"/>
          <w:bCs/>
          <w:sz w:val="20"/>
          <w:szCs w:val="20"/>
          <w:lang w:val="en-GB"/>
        </w:rPr>
        <w:t>i</w:t>
      </w:r>
      <w:r w:rsidR="002D7043" w:rsidRPr="000139BB">
        <w:rPr>
          <w:rFonts w:ascii="Arial" w:hAnsi="Arial" w:cs="Arial"/>
          <w:bCs/>
          <w:sz w:val="20"/>
          <w:szCs w:val="20"/>
          <w:lang w:val="en-GB"/>
        </w:rPr>
        <w:t xml:space="preserve">n 2014). </w:t>
      </w:r>
      <w:r w:rsidR="0058685A">
        <w:rPr>
          <w:rFonts w:ascii="Arial" w:hAnsi="Arial" w:cs="Arial"/>
          <w:bCs/>
          <w:sz w:val="20"/>
          <w:szCs w:val="20"/>
          <w:lang w:val="en-GB"/>
        </w:rPr>
        <w:t>The</w:t>
      </w:r>
      <w:r w:rsidR="002D7043" w:rsidRPr="000139BB">
        <w:rPr>
          <w:rFonts w:ascii="Arial" w:hAnsi="Arial" w:cs="Arial"/>
          <w:bCs/>
          <w:sz w:val="20"/>
          <w:szCs w:val="20"/>
          <w:lang w:val="en-GB"/>
        </w:rPr>
        <w:t xml:space="preserve"> 62</w:t>
      </w:r>
      <w:r w:rsidR="0058685A">
        <w:rPr>
          <w:rFonts w:ascii="Arial" w:hAnsi="Arial" w:cs="Arial"/>
          <w:bCs/>
          <w:sz w:val="20"/>
          <w:szCs w:val="20"/>
          <w:lang w:val="en-GB"/>
        </w:rPr>
        <w:t>,</w:t>
      </w:r>
      <w:r w:rsidR="002D7043" w:rsidRPr="000139BB">
        <w:rPr>
          <w:rFonts w:ascii="Arial" w:hAnsi="Arial" w:cs="Arial"/>
          <w:bCs/>
          <w:sz w:val="20"/>
          <w:szCs w:val="20"/>
          <w:lang w:val="en-GB"/>
        </w:rPr>
        <w:t xml:space="preserve">473 </w:t>
      </w:r>
      <w:r w:rsidR="0058685A">
        <w:rPr>
          <w:rFonts w:ascii="Arial" w:hAnsi="Arial" w:cs="Arial"/>
          <w:bCs/>
          <w:sz w:val="20"/>
          <w:szCs w:val="20"/>
          <w:lang w:val="en-GB"/>
        </w:rPr>
        <w:t xml:space="preserve">business </w:t>
      </w:r>
      <w:r w:rsidR="00C336BF">
        <w:rPr>
          <w:rFonts w:ascii="Arial" w:hAnsi="Arial" w:cs="Arial"/>
          <w:bCs/>
          <w:sz w:val="20"/>
          <w:szCs w:val="20"/>
          <w:lang w:val="en-GB"/>
        </w:rPr>
        <w:t>insolvencies</w:t>
      </w:r>
      <w:r w:rsidR="0058685A">
        <w:rPr>
          <w:rFonts w:ascii="Arial" w:hAnsi="Arial" w:cs="Arial"/>
          <w:bCs/>
          <w:sz w:val="20"/>
          <w:szCs w:val="20"/>
          <w:lang w:val="en-GB"/>
        </w:rPr>
        <w:t xml:space="preserve"> cost their suppliers </w:t>
      </w:r>
      <w:r w:rsidR="002D7043" w:rsidRPr="000139BB">
        <w:rPr>
          <w:rFonts w:ascii="Arial" w:hAnsi="Arial" w:cs="Arial"/>
          <w:sz w:val="20"/>
          <w:szCs w:val="20"/>
          <w:lang w:val="en-GB"/>
        </w:rPr>
        <w:t>3</w:t>
      </w:r>
      <w:r w:rsidR="0058685A">
        <w:rPr>
          <w:rFonts w:ascii="Arial" w:hAnsi="Arial" w:cs="Arial"/>
          <w:sz w:val="20"/>
          <w:szCs w:val="20"/>
          <w:lang w:val="en-GB"/>
        </w:rPr>
        <w:t>.</w:t>
      </w:r>
      <w:r w:rsidR="002D7043" w:rsidRPr="000139BB">
        <w:rPr>
          <w:rFonts w:ascii="Arial" w:hAnsi="Arial" w:cs="Arial"/>
          <w:sz w:val="20"/>
          <w:szCs w:val="20"/>
          <w:lang w:val="en-GB"/>
        </w:rPr>
        <w:t xml:space="preserve">9 </w:t>
      </w:r>
      <w:r w:rsidR="0058685A">
        <w:rPr>
          <w:rFonts w:ascii="Arial" w:hAnsi="Arial" w:cs="Arial"/>
          <w:sz w:val="20"/>
          <w:szCs w:val="20"/>
          <w:lang w:val="en-GB"/>
        </w:rPr>
        <w:t xml:space="preserve">billion </w:t>
      </w:r>
      <w:r w:rsidR="0081179E" w:rsidRPr="000139BB">
        <w:rPr>
          <w:rFonts w:ascii="Arial" w:hAnsi="Arial" w:cs="Arial"/>
          <w:sz w:val="20"/>
          <w:szCs w:val="20"/>
          <w:lang w:val="en-GB"/>
        </w:rPr>
        <w:t>euros (-16</w:t>
      </w:r>
      <w:r w:rsidR="0058685A">
        <w:rPr>
          <w:rFonts w:ascii="Arial" w:hAnsi="Arial" w:cs="Arial"/>
          <w:sz w:val="20"/>
          <w:szCs w:val="20"/>
          <w:lang w:val="en-GB"/>
        </w:rPr>
        <w:t>.</w:t>
      </w:r>
      <w:r w:rsidR="0081179E" w:rsidRPr="000139BB">
        <w:rPr>
          <w:rFonts w:ascii="Arial" w:hAnsi="Arial" w:cs="Arial"/>
          <w:sz w:val="20"/>
          <w:szCs w:val="20"/>
          <w:lang w:val="en-GB"/>
        </w:rPr>
        <w:t>6%)</w:t>
      </w:r>
      <w:r w:rsidR="002D7043" w:rsidRPr="000139BB">
        <w:rPr>
          <w:rFonts w:ascii="Arial" w:hAnsi="Arial" w:cs="Arial"/>
          <w:sz w:val="20"/>
          <w:szCs w:val="20"/>
          <w:lang w:val="en-GB"/>
        </w:rPr>
        <w:t xml:space="preserve"> </w:t>
      </w:r>
      <w:r w:rsidR="0058685A">
        <w:rPr>
          <w:rFonts w:ascii="Arial" w:hAnsi="Arial" w:cs="Arial"/>
          <w:sz w:val="20"/>
          <w:szCs w:val="20"/>
          <w:lang w:val="en-GB"/>
        </w:rPr>
        <w:t xml:space="preserve">and potentially endangered </w:t>
      </w:r>
      <w:r w:rsidR="0081179E" w:rsidRPr="000139BB">
        <w:rPr>
          <w:rFonts w:ascii="Arial" w:hAnsi="Arial" w:cs="Arial"/>
          <w:sz w:val="20"/>
          <w:szCs w:val="20"/>
          <w:lang w:val="en-GB"/>
        </w:rPr>
        <w:t>174</w:t>
      </w:r>
      <w:r w:rsidR="0058685A">
        <w:rPr>
          <w:rFonts w:ascii="Arial" w:hAnsi="Arial" w:cs="Arial"/>
          <w:sz w:val="20"/>
          <w:szCs w:val="20"/>
          <w:lang w:val="en-GB"/>
        </w:rPr>
        <w:t>,</w:t>
      </w:r>
      <w:r w:rsidR="0081179E" w:rsidRPr="000139BB">
        <w:rPr>
          <w:rFonts w:ascii="Arial" w:hAnsi="Arial" w:cs="Arial"/>
          <w:sz w:val="20"/>
          <w:szCs w:val="20"/>
          <w:lang w:val="en-GB"/>
        </w:rPr>
        <w:t xml:space="preserve">786 </w:t>
      </w:r>
      <w:r w:rsidR="0058685A">
        <w:rPr>
          <w:rFonts w:ascii="Arial" w:hAnsi="Arial" w:cs="Arial"/>
          <w:sz w:val="20"/>
          <w:szCs w:val="20"/>
          <w:lang w:val="en-GB"/>
        </w:rPr>
        <w:t xml:space="preserve">jobs </w:t>
      </w:r>
      <w:r w:rsidR="0081179E" w:rsidRPr="000139BB">
        <w:rPr>
          <w:rFonts w:ascii="Arial" w:hAnsi="Arial" w:cs="Arial"/>
          <w:sz w:val="20"/>
          <w:szCs w:val="20"/>
          <w:lang w:val="en-GB"/>
        </w:rPr>
        <w:t>(-</w:t>
      </w:r>
      <w:r w:rsidR="002D7043" w:rsidRPr="000139BB">
        <w:rPr>
          <w:rFonts w:ascii="Arial" w:hAnsi="Arial" w:cs="Arial"/>
          <w:sz w:val="20"/>
          <w:szCs w:val="20"/>
          <w:lang w:val="en-GB"/>
        </w:rPr>
        <w:t>4</w:t>
      </w:r>
      <w:r w:rsidR="0058685A">
        <w:rPr>
          <w:rFonts w:ascii="Arial" w:hAnsi="Arial" w:cs="Arial"/>
          <w:sz w:val="20"/>
          <w:szCs w:val="20"/>
          <w:lang w:val="en-GB"/>
        </w:rPr>
        <w:t>.</w:t>
      </w:r>
      <w:r w:rsidR="002D7043" w:rsidRPr="000139BB">
        <w:rPr>
          <w:rFonts w:ascii="Arial" w:hAnsi="Arial" w:cs="Arial"/>
          <w:sz w:val="20"/>
          <w:szCs w:val="20"/>
          <w:lang w:val="en-GB"/>
        </w:rPr>
        <w:t>6%</w:t>
      </w:r>
      <w:r w:rsidR="0081179E" w:rsidRPr="000139BB">
        <w:rPr>
          <w:rFonts w:ascii="Arial" w:hAnsi="Arial" w:cs="Arial"/>
          <w:sz w:val="20"/>
          <w:szCs w:val="20"/>
          <w:lang w:val="en-GB"/>
        </w:rPr>
        <w:t>)</w:t>
      </w:r>
      <w:r w:rsidR="002D7043" w:rsidRPr="000139BB">
        <w:rPr>
          <w:rFonts w:ascii="Arial" w:hAnsi="Arial" w:cs="Arial"/>
          <w:sz w:val="20"/>
          <w:szCs w:val="20"/>
          <w:lang w:val="en-GB"/>
        </w:rPr>
        <w:t xml:space="preserve">. </w:t>
      </w:r>
      <w:r w:rsidR="0058685A">
        <w:rPr>
          <w:rFonts w:ascii="Arial" w:hAnsi="Arial" w:cs="Arial"/>
          <w:sz w:val="20"/>
          <w:szCs w:val="20"/>
          <w:lang w:val="en-GB"/>
        </w:rPr>
        <w:t xml:space="preserve">This trend reflects specifically the </w:t>
      </w:r>
      <w:r w:rsidR="00604185" w:rsidRPr="000139BB">
        <w:rPr>
          <w:rFonts w:ascii="Arial" w:hAnsi="Arial" w:cs="Arial"/>
          <w:sz w:val="20"/>
          <w:szCs w:val="20"/>
          <w:lang w:val="en-GB"/>
        </w:rPr>
        <w:t>tempora</w:t>
      </w:r>
      <w:r w:rsidR="0058685A">
        <w:rPr>
          <w:rFonts w:ascii="Arial" w:hAnsi="Arial" w:cs="Arial"/>
          <w:sz w:val="20"/>
          <w:szCs w:val="20"/>
          <w:lang w:val="en-GB"/>
        </w:rPr>
        <w:t xml:space="preserve">ry </w:t>
      </w:r>
      <w:r w:rsidR="0058685A" w:rsidRPr="000139BB">
        <w:rPr>
          <w:rFonts w:ascii="Arial" w:hAnsi="Arial" w:cs="Arial"/>
          <w:sz w:val="20"/>
          <w:szCs w:val="20"/>
          <w:lang w:val="en-GB"/>
        </w:rPr>
        <w:t xml:space="preserve">effects </w:t>
      </w:r>
      <w:r w:rsidR="0058685A">
        <w:rPr>
          <w:rFonts w:ascii="Arial" w:hAnsi="Arial" w:cs="Arial"/>
          <w:sz w:val="20"/>
          <w:szCs w:val="20"/>
          <w:lang w:val="en-GB"/>
        </w:rPr>
        <w:t>on household consumption associated with lower oil prices and improvements in company margins</w:t>
      </w:r>
      <w:r w:rsidR="00604185" w:rsidRPr="000139BB">
        <w:rPr>
          <w:rFonts w:ascii="Arial" w:hAnsi="Arial" w:cs="Arial"/>
          <w:sz w:val="20"/>
          <w:szCs w:val="20"/>
          <w:lang w:val="en-GB"/>
        </w:rPr>
        <w:t>.</w:t>
      </w:r>
    </w:p>
    <w:p w:rsidR="00604185" w:rsidRPr="000139BB" w:rsidRDefault="00604185" w:rsidP="00D86ECE">
      <w:pPr>
        <w:suppressAutoHyphens/>
        <w:autoSpaceDE w:val="0"/>
        <w:autoSpaceDN w:val="0"/>
        <w:adjustRightInd w:val="0"/>
        <w:spacing w:line="270" w:lineRule="exact"/>
        <w:jc w:val="both"/>
        <w:rPr>
          <w:rFonts w:ascii="Arial" w:hAnsi="Arial" w:cs="Arial"/>
          <w:sz w:val="20"/>
          <w:szCs w:val="20"/>
          <w:lang w:val="en-GB"/>
        </w:rPr>
      </w:pPr>
    </w:p>
    <w:p w:rsidR="002D7043" w:rsidRPr="000139BB" w:rsidRDefault="002D7043" w:rsidP="00D86ECE">
      <w:pPr>
        <w:suppressAutoHyphens/>
        <w:autoSpaceDE w:val="0"/>
        <w:autoSpaceDN w:val="0"/>
        <w:adjustRightInd w:val="0"/>
        <w:spacing w:line="270" w:lineRule="exact"/>
        <w:jc w:val="both"/>
        <w:rPr>
          <w:rFonts w:ascii="Arial" w:hAnsi="Arial" w:cs="Arial"/>
          <w:sz w:val="20"/>
          <w:szCs w:val="20"/>
          <w:lang w:val="en-GB"/>
        </w:rPr>
      </w:pPr>
    </w:p>
    <w:p w:rsidR="00A05B89" w:rsidRPr="000139BB" w:rsidRDefault="0058685A" w:rsidP="00D86ECE">
      <w:pPr>
        <w:spacing w:line="270" w:lineRule="exact"/>
        <w:jc w:val="both"/>
        <w:rPr>
          <w:rFonts w:ascii="Arial" w:hAnsi="Arial" w:cs="Arial"/>
          <w:sz w:val="20"/>
          <w:szCs w:val="20"/>
          <w:lang w:val="en-GB"/>
        </w:rPr>
      </w:pPr>
      <w:r>
        <w:rPr>
          <w:rFonts w:ascii="Arial" w:hAnsi="Arial" w:cs="Arial"/>
          <w:sz w:val="20"/>
          <w:szCs w:val="20"/>
          <w:lang w:val="en-GB"/>
        </w:rPr>
        <w:t xml:space="preserve">Whilst the </w:t>
      </w:r>
      <w:r w:rsidR="001675B9">
        <w:rPr>
          <w:rFonts w:ascii="Arial" w:hAnsi="Arial" w:cs="Arial"/>
          <w:sz w:val="20"/>
          <w:szCs w:val="20"/>
          <w:lang w:val="en-GB"/>
        </w:rPr>
        <w:t xml:space="preserve">indications from the </w:t>
      </w:r>
      <w:r>
        <w:rPr>
          <w:rFonts w:ascii="Arial" w:hAnsi="Arial" w:cs="Arial"/>
          <w:sz w:val="20"/>
          <w:szCs w:val="20"/>
          <w:lang w:val="en-GB"/>
        </w:rPr>
        <w:t xml:space="preserve">January – April </w:t>
      </w:r>
      <w:r w:rsidR="002D7043" w:rsidRPr="000139BB">
        <w:rPr>
          <w:rFonts w:ascii="Arial" w:hAnsi="Arial" w:cs="Arial"/>
          <w:sz w:val="20"/>
          <w:szCs w:val="20"/>
          <w:lang w:val="en-GB"/>
        </w:rPr>
        <w:t xml:space="preserve">2015 </w:t>
      </w:r>
      <w:r>
        <w:rPr>
          <w:rFonts w:ascii="Arial" w:hAnsi="Arial" w:cs="Arial"/>
          <w:sz w:val="20"/>
          <w:szCs w:val="20"/>
          <w:lang w:val="en-GB"/>
        </w:rPr>
        <w:t xml:space="preserve">period might seem worrying, with a </w:t>
      </w:r>
      <w:r w:rsidR="00C336BF">
        <w:rPr>
          <w:rFonts w:ascii="Arial" w:hAnsi="Arial" w:cs="Arial"/>
          <w:sz w:val="20"/>
          <w:szCs w:val="20"/>
          <w:lang w:val="en-GB"/>
        </w:rPr>
        <w:t>+</w:t>
      </w:r>
      <w:r>
        <w:rPr>
          <w:rFonts w:ascii="Arial" w:hAnsi="Arial" w:cs="Arial"/>
          <w:sz w:val="20"/>
          <w:szCs w:val="20"/>
          <w:lang w:val="en-GB"/>
        </w:rPr>
        <w:t>1.6% increase in the number of insolvencies</w:t>
      </w:r>
      <w:r w:rsidR="006B140C" w:rsidRPr="000139BB">
        <w:rPr>
          <w:rStyle w:val="FootnoteReference"/>
          <w:rFonts w:ascii="Arial" w:hAnsi="Arial"/>
          <w:sz w:val="20"/>
          <w:szCs w:val="20"/>
          <w:lang w:val="en-GB"/>
        </w:rPr>
        <w:footnoteReference w:id="1"/>
      </w:r>
      <w:r w:rsidR="006B140C" w:rsidRPr="000139BB">
        <w:rPr>
          <w:rFonts w:ascii="Arial" w:hAnsi="Arial" w:cs="Arial"/>
          <w:sz w:val="20"/>
          <w:szCs w:val="20"/>
          <w:lang w:val="en-GB"/>
        </w:rPr>
        <w:t xml:space="preserve">, </w:t>
      </w:r>
      <w:r w:rsidR="008D0D75">
        <w:rPr>
          <w:rFonts w:ascii="Arial" w:hAnsi="Arial" w:cs="Arial"/>
          <w:sz w:val="20"/>
          <w:szCs w:val="20"/>
          <w:lang w:val="en-GB"/>
        </w:rPr>
        <w:t>the explanation for this transitory</w:t>
      </w:r>
      <w:r w:rsidR="008D0D75" w:rsidRPr="000139BB">
        <w:rPr>
          <w:rFonts w:ascii="Arial" w:hAnsi="Arial" w:cs="Arial"/>
          <w:sz w:val="20"/>
          <w:szCs w:val="20"/>
          <w:lang w:val="en-GB"/>
        </w:rPr>
        <w:t xml:space="preserve"> </w:t>
      </w:r>
      <w:r w:rsidR="008D0D75">
        <w:rPr>
          <w:rFonts w:ascii="Arial" w:hAnsi="Arial" w:cs="Arial"/>
          <w:sz w:val="20"/>
          <w:szCs w:val="20"/>
          <w:lang w:val="en-GB"/>
        </w:rPr>
        <w:t>worsening lies in the delays in registration</w:t>
      </w:r>
      <w:r w:rsidR="001675B9">
        <w:rPr>
          <w:rFonts w:ascii="Arial" w:hAnsi="Arial" w:cs="Arial"/>
          <w:sz w:val="20"/>
          <w:szCs w:val="20"/>
          <w:lang w:val="en-GB"/>
        </w:rPr>
        <w:t>s</w:t>
      </w:r>
      <w:r w:rsidR="008D0D75">
        <w:rPr>
          <w:rFonts w:ascii="Arial" w:hAnsi="Arial" w:cs="Arial"/>
          <w:sz w:val="20"/>
          <w:szCs w:val="20"/>
          <w:lang w:val="en-GB"/>
        </w:rPr>
        <w:t xml:space="preserve"> as a result of the strikes involving the Commercial Tribunals in December </w:t>
      </w:r>
      <w:r w:rsidR="00551E26" w:rsidRPr="000139BB">
        <w:rPr>
          <w:rFonts w:ascii="Arial" w:hAnsi="Arial" w:cs="Arial"/>
          <w:sz w:val="20"/>
          <w:szCs w:val="20"/>
          <w:lang w:val="en-GB"/>
        </w:rPr>
        <w:t>2014</w:t>
      </w:r>
      <w:r w:rsidR="00215D4C" w:rsidRPr="000139BB">
        <w:rPr>
          <w:rFonts w:ascii="Arial" w:hAnsi="Arial" w:cs="Arial"/>
          <w:sz w:val="20"/>
          <w:szCs w:val="20"/>
          <w:lang w:val="en-GB"/>
        </w:rPr>
        <w:t xml:space="preserve">, </w:t>
      </w:r>
      <w:r w:rsidR="008D0D75">
        <w:rPr>
          <w:rFonts w:ascii="Arial" w:hAnsi="Arial" w:cs="Arial"/>
          <w:sz w:val="20"/>
          <w:szCs w:val="20"/>
          <w:lang w:val="en-GB"/>
        </w:rPr>
        <w:t xml:space="preserve">leading to an </w:t>
      </w:r>
      <w:r w:rsidR="007574AE" w:rsidRPr="000139BB">
        <w:rPr>
          <w:rFonts w:ascii="Arial" w:hAnsi="Arial" w:cs="Arial"/>
          <w:sz w:val="20"/>
          <w:szCs w:val="20"/>
          <w:lang w:val="en-GB"/>
        </w:rPr>
        <w:t>artifici</w:t>
      </w:r>
      <w:r>
        <w:rPr>
          <w:rFonts w:ascii="Arial" w:hAnsi="Arial" w:cs="Arial"/>
          <w:sz w:val="20"/>
          <w:szCs w:val="20"/>
          <w:lang w:val="en-GB"/>
        </w:rPr>
        <w:t xml:space="preserve">al </w:t>
      </w:r>
      <w:r w:rsidR="007574AE" w:rsidRPr="000139BB">
        <w:rPr>
          <w:rFonts w:ascii="Arial" w:hAnsi="Arial" w:cs="Arial"/>
          <w:sz w:val="20"/>
          <w:szCs w:val="20"/>
          <w:lang w:val="en-GB"/>
        </w:rPr>
        <w:t xml:space="preserve">+16% </w:t>
      </w:r>
      <w:r>
        <w:rPr>
          <w:rFonts w:ascii="Arial" w:hAnsi="Arial" w:cs="Arial"/>
          <w:sz w:val="20"/>
          <w:szCs w:val="20"/>
          <w:lang w:val="en-GB"/>
        </w:rPr>
        <w:t xml:space="preserve">rise in March </w:t>
      </w:r>
      <w:r w:rsidR="007574AE" w:rsidRPr="000139BB">
        <w:rPr>
          <w:rFonts w:ascii="Arial" w:hAnsi="Arial" w:cs="Arial"/>
          <w:sz w:val="20"/>
          <w:szCs w:val="20"/>
          <w:lang w:val="en-GB"/>
        </w:rPr>
        <w:t>2015</w:t>
      </w:r>
      <w:r w:rsidR="007574AE" w:rsidRPr="000139BB">
        <w:rPr>
          <w:rStyle w:val="FootnoteReference"/>
          <w:rFonts w:ascii="Arial" w:hAnsi="Arial"/>
          <w:sz w:val="20"/>
          <w:szCs w:val="20"/>
          <w:lang w:val="en-GB"/>
        </w:rPr>
        <w:footnoteReference w:id="2"/>
      </w:r>
      <w:r w:rsidR="007574AE" w:rsidRPr="000139BB">
        <w:rPr>
          <w:rFonts w:ascii="Arial" w:hAnsi="Arial" w:cs="Arial"/>
          <w:sz w:val="20"/>
          <w:szCs w:val="20"/>
          <w:lang w:val="en-GB"/>
        </w:rPr>
        <w:t>.</w:t>
      </w:r>
    </w:p>
    <w:p w:rsidR="00A05B89" w:rsidRPr="000139BB" w:rsidRDefault="00A05B89" w:rsidP="00D86ECE">
      <w:pPr>
        <w:spacing w:line="270" w:lineRule="exact"/>
        <w:jc w:val="both"/>
        <w:rPr>
          <w:rFonts w:ascii="Arial" w:hAnsi="Arial" w:cs="Arial"/>
          <w:i/>
          <w:sz w:val="20"/>
          <w:szCs w:val="20"/>
          <w:lang w:val="en-GB"/>
        </w:rPr>
      </w:pPr>
    </w:p>
    <w:p w:rsidR="00734E57" w:rsidRPr="000139BB" w:rsidRDefault="00734E57" w:rsidP="00D86ECE">
      <w:pPr>
        <w:spacing w:line="270" w:lineRule="exact"/>
        <w:jc w:val="both"/>
        <w:rPr>
          <w:rFonts w:ascii="Arial" w:hAnsi="Arial" w:cs="Arial"/>
          <w:i/>
          <w:sz w:val="20"/>
          <w:szCs w:val="20"/>
          <w:lang w:val="en-GB"/>
        </w:rPr>
      </w:pPr>
    </w:p>
    <w:p w:rsidR="00306305" w:rsidRPr="000139BB" w:rsidRDefault="00306305" w:rsidP="00D86ECE">
      <w:pPr>
        <w:spacing w:line="270" w:lineRule="exact"/>
        <w:jc w:val="both"/>
        <w:rPr>
          <w:rFonts w:ascii="Arial" w:hAnsi="Arial" w:cs="Arial"/>
          <w:i/>
          <w:sz w:val="20"/>
          <w:szCs w:val="20"/>
          <w:lang w:val="en-GB"/>
        </w:rPr>
      </w:pPr>
    </w:p>
    <w:p w:rsidR="00110E79" w:rsidRDefault="00110E79" w:rsidP="00D86ECE">
      <w:pPr>
        <w:spacing w:line="270" w:lineRule="exact"/>
        <w:jc w:val="both"/>
        <w:rPr>
          <w:rFonts w:ascii="Arial" w:hAnsi="Arial" w:cs="Arial"/>
          <w:i/>
          <w:sz w:val="20"/>
          <w:szCs w:val="20"/>
          <w:lang w:val="en-GB"/>
        </w:rPr>
      </w:pPr>
    </w:p>
    <w:p w:rsidR="00C336BF" w:rsidRPr="000139BB" w:rsidRDefault="00C336BF" w:rsidP="00D86ECE">
      <w:pPr>
        <w:spacing w:line="270" w:lineRule="exact"/>
        <w:jc w:val="both"/>
        <w:rPr>
          <w:rFonts w:ascii="Arial" w:hAnsi="Arial" w:cs="Arial"/>
          <w:i/>
          <w:sz w:val="20"/>
          <w:szCs w:val="20"/>
          <w:lang w:val="en-GB"/>
        </w:rPr>
      </w:pPr>
    </w:p>
    <w:p w:rsidR="00D81B44" w:rsidRPr="000139BB" w:rsidRDefault="0058685A" w:rsidP="00D81B44">
      <w:pPr>
        <w:spacing w:line="270" w:lineRule="exact"/>
        <w:jc w:val="both"/>
        <w:rPr>
          <w:rFonts w:ascii="Arial" w:hAnsi="Arial" w:cs="Arial"/>
          <w:sz w:val="20"/>
          <w:szCs w:val="20"/>
          <w:lang w:val="en-GB"/>
        </w:rPr>
      </w:pPr>
      <w:r>
        <w:rPr>
          <w:rFonts w:ascii="Arial" w:hAnsi="Arial" w:cs="Arial"/>
          <w:i/>
          <w:sz w:val="20"/>
          <w:szCs w:val="20"/>
          <w:lang w:val="en-GB"/>
        </w:rPr>
        <w:t xml:space="preserve">“As of the second quarter, we are expecting </w:t>
      </w:r>
      <w:r w:rsidR="001675B9">
        <w:rPr>
          <w:rFonts w:ascii="Arial" w:hAnsi="Arial" w:cs="Arial"/>
          <w:i/>
          <w:sz w:val="20"/>
          <w:szCs w:val="20"/>
          <w:lang w:val="en-GB"/>
        </w:rPr>
        <w:t xml:space="preserve">the </w:t>
      </w:r>
      <w:r>
        <w:rPr>
          <w:rFonts w:ascii="Arial" w:hAnsi="Arial" w:cs="Arial"/>
          <w:i/>
          <w:sz w:val="20"/>
          <w:szCs w:val="20"/>
          <w:lang w:val="en-GB"/>
        </w:rPr>
        <w:t>level of consumption</w:t>
      </w:r>
      <w:r w:rsidR="001675B9" w:rsidRPr="001675B9">
        <w:rPr>
          <w:rFonts w:ascii="Arial" w:hAnsi="Arial" w:cs="Arial"/>
          <w:i/>
          <w:sz w:val="20"/>
          <w:szCs w:val="20"/>
          <w:lang w:val="en-GB"/>
        </w:rPr>
        <w:t xml:space="preserve"> </w:t>
      </w:r>
      <w:r w:rsidR="001675B9">
        <w:rPr>
          <w:rFonts w:ascii="Arial" w:hAnsi="Arial" w:cs="Arial"/>
          <w:i/>
          <w:sz w:val="20"/>
          <w:szCs w:val="20"/>
          <w:lang w:val="en-GB"/>
        </w:rPr>
        <w:t>to moderate</w:t>
      </w:r>
      <w:r>
        <w:rPr>
          <w:rFonts w:ascii="Arial" w:hAnsi="Arial" w:cs="Arial"/>
          <w:i/>
          <w:sz w:val="20"/>
          <w:szCs w:val="20"/>
          <w:lang w:val="en-GB"/>
        </w:rPr>
        <w:t xml:space="preserve">, </w:t>
      </w:r>
      <w:r w:rsidR="001675B9">
        <w:rPr>
          <w:rFonts w:ascii="Arial" w:hAnsi="Arial" w:cs="Arial"/>
          <w:i/>
          <w:sz w:val="20"/>
          <w:szCs w:val="20"/>
          <w:lang w:val="en-GB"/>
        </w:rPr>
        <w:t>given that</w:t>
      </w:r>
      <w:r>
        <w:rPr>
          <w:rFonts w:ascii="Arial" w:hAnsi="Arial" w:cs="Arial"/>
          <w:i/>
          <w:sz w:val="20"/>
          <w:szCs w:val="20"/>
          <w:lang w:val="en-GB"/>
        </w:rPr>
        <w:t xml:space="preserve"> energy prices</w:t>
      </w:r>
      <w:r w:rsidR="001675B9">
        <w:rPr>
          <w:rFonts w:ascii="Arial" w:hAnsi="Arial" w:cs="Arial"/>
          <w:i/>
          <w:sz w:val="20"/>
          <w:szCs w:val="20"/>
          <w:lang w:val="en-GB"/>
        </w:rPr>
        <w:t xml:space="preserve"> are rising again</w:t>
      </w:r>
      <w:r>
        <w:rPr>
          <w:rFonts w:ascii="Arial" w:hAnsi="Arial" w:cs="Arial"/>
          <w:i/>
          <w:sz w:val="20"/>
          <w:szCs w:val="20"/>
          <w:lang w:val="en-GB"/>
        </w:rPr>
        <w:t xml:space="preserve">. Elsewhere, thanks to the </w:t>
      </w:r>
      <w:r w:rsidR="003A4B10">
        <w:rPr>
          <w:rFonts w:ascii="Arial" w:hAnsi="Arial" w:cs="Arial"/>
          <w:i/>
          <w:sz w:val="20"/>
          <w:szCs w:val="20"/>
          <w:lang w:val="en-GB"/>
        </w:rPr>
        <w:t xml:space="preserve">restrained </w:t>
      </w:r>
      <w:r>
        <w:rPr>
          <w:rFonts w:ascii="Arial" w:hAnsi="Arial" w:cs="Arial"/>
          <w:i/>
          <w:sz w:val="20"/>
          <w:szCs w:val="20"/>
          <w:lang w:val="en-GB"/>
        </w:rPr>
        <w:t>recovery, company</w:t>
      </w:r>
      <w:r w:rsidR="00D81B44" w:rsidRPr="000139BB">
        <w:rPr>
          <w:rFonts w:ascii="Arial" w:hAnsi="Arial" w:cs="Arial"/>
          <w:i/>
          <w:sz w:val="20"/>
          <w:szCs w:val="20"/>
          <w:lang w:val="en-GB"/>
        </w:rPr>
        <w:t xml:space="preserve"> </w:t>
      </w:r>
      <w:r>
        <w:rPr>
          <w:rFonts w:ascii="Arial" w:hAnsi="Arial" w:cs="Arial"/>
          <w:i/>
          <w:sz w:val="20"/>
          <w:szCs w:val="20"/>
          <w:lang w:val="en-GB"/>
        </w:rPr>
        <w:t>creations</w:t>
      </w:r>
      <w:r w:rsidR="00C336BF" w:rsidRPr="000139BB">
        <w:rPr>
          <w:rStyle w:val="FootnoteReference"/>
          <w:rFonts w:ascii="Arial" w:hAnsi="Arial"/>
          <w:i/>
          <w:sz w:val="20"/>
          <w:szCs w:val="20"/>
          <w:lang w:val="en-GB"/>
        </w:rPr>
        <w:footnoteReference w:id="3"/>
      </w:r>
      <w:r>
        <w:rPr>
          <w:rFonts w:ascii="Arial" w:hAnsi="Arial" w:cs="Arial"/>
          <w:i/>
          <w:sz w:val="20"/>
          <w:szCs w:val="20"/>
          <w:lang w:val="en-GB"/>
        </w:rPr>
        <w:t xml:space="preserve"> are also on the rise</w:t>
      </w:r>
      <w:r w:rsidRPr="000139BB">
        <w:rPr>
          <w:rFonts w:ascii="Arial" w:hAnsi="Arial" w:cs="Arial"/>
          <w:i/>
          <w:sz w:val="20"/>
          <w:szCs w:val="20"/>
          <w:lang w:val="en-GB"/>
        </w:rPr>
        <w:t xml:space="preserve"> </w:t>
      </w:r>
      <w:r w:rsidR="00D81B44" w:rsidRPr="000139BB">
        <w:rPr>
          <w:rFonts w:ascii="Arial" w:hAnsi="Arial" w:cs="Arial"/>
          <w:i/>
          <w:sz w:val="20"/>
          <w:szCs w:val="20"/>
          <w:lang w:val="en-GB"/>
        </w:rPr>
        <w:t>(+2</w:t>
      </w:r>
      <w:r>
        <w:rPr>
          <w:rFonts w:ascii="Arial" w:hAnsi="Arial" w:cs="Arial"/>
          <w:i/>
          <w:sz w:val="20"/>
          <w:szCs w:val="20"/>
          <w:lang w:val="en-GB"/>
        </w:rPr>
        <w:t>.</w:t>
      </w:r>
      <w:r w:rsidR="00D81B44" w:rsidRPr="000139BB">
        <w:rPr>
          <w:rFonts w:ascii="Arial" w:hAnsi="Arial" w:cs="Arial"/>
          <w:i/>
          <w:sz w:val="20"/>
          <w:szCs w:val="20"/>
          <w:lang w:val="en-GB"/>
        </w:rPr>
        <w:t xml:space="preserve">8% </w:t>
      </w:r>
      <w:r>
        <w:rPr>
          <w:rFonts w:ascii="Arial" w:hAnsi="Arial" w:cs="Arial"/>
          <w:i/>
          <w:sz w:val="20"/>
          <w:szCs w:val="20"/>
          <w:lang w:val="en-GB"/>
        </w:rPr>
        <w:t xml:space="preserve">in March </w:t>
      </w:r>
      <w:r w:rsidR="00D81B44" w:rsidRPr="000139BB">
        <w:rPr>
          <w:rFonts w:ascii="Arial" w:hAnsi="Arial" w:cs="Arial"/>
          <w:i/>
          <w:sz w:val="20"/>
          <w:szCs w:val="20"/>
          <w:lang w:val="en-GB"/>
        </w:rPr>
        <w:t xml:space="preserve">2015, </w:t>
      </w:r>
      <w:r>
        <w:rPr>
          <w:rFonts w:ascii="Arial" w:hAnsi="Arial" w:cs="Arial"/>
          <w:i/>
          <w:sz w:val="20"/>
          <w:szCs w:val="20"/>
          <w:lang w:val="en-GB"/>
        </w:rPr>
        <w:t xml:space="preserve">against end of March </w:t>
      </w:r>
      <w:r w:rsidR="00D81B44" w:rsidRPr="000139BB">
        <w:rPr>
          <w:rFonts w:ascii="Arial" w:hAnsi="Arial" w:cs="Arial"/>
          <w:i/>
          <w:sz w:val="20"/>
          <w:szCs w:val="20"/>
          <w:lang w:val="en-GB"/>
        </w:rPr>
        <w:t xml:space="preserve">2014), </w:t>
      </w:r>
      <w:r>
        <w:rPr>
          <w:rFonts w:ascii="Arial" w:hAnsi="Arial" w:cs="Arial"/>
          <w:i/>
          <w:sz w:val="20"/>
          <w:szCs w:val="20"/>
          <w:lang w:val="en-GB"/>
        </w:rPr>
        <w:t>which should lead to additional insolvencies</w:t>
      </w:r>
      <w:r w:rsidR="00D81B44" w:rsidRPr="000139BB">
        <w:rPr>
          <w:rFonts w:ascii="Arial" w:hAnsi="Arial" w:cs="Arial"/>
          <w:i/>
          <w:sz w:val="20"/>
          <w:szCs w:val="20"/>
          <w:lang w:val="en-GB"/>
        </w:rPr>
        <w:t xml:space="preserve"> </w:t>
      </w:r>
      <w:r>
        <w:rPr>
          <w:rFonts w:ascii="Arial" w:hAnsi="Arial" w:cs="Arial"/>
          <w:i/>
          <w:sz w:val="20"/>
          <w:szCs w:val="20"/>
          <w:lang w:val="en-GB"/>
        </w:rPr>
        <w:t xml:space="preserve">between now and the end of </w:t>
      </w:r>
      <w:r w:rsidR="00D81B44" w:rsidRPr="000139BB">
        <w:rPr>
          <w:rFonts w:ascii="Arial" w:hAnsi="Arial" w:cs="Arial"/>
          <w:i/>
          <w:sz w:val="20"/>
          <w:szCs w:val="20"/>
          <w:lang w:val="en-GB"/>
        </w:rPr>
        <w:t>2015</w:t>
      </w:r>
      <w:r>
        <w:rPr>
          <w:rFonts w:ascii="Arial" w:hAnsi="Arial" w:cs="Arial"/>
          <w:i/>
          <w:sz w:val="20"/>
          <w:szCs w:val="20"/>
          <w:lang w:val="en-GB"/>
        </w:rPr>
        <w:t>”</w:t>
      </w:r>
      <w:r w:rsidR="00D81B44" w:rsidRPr="000139BB">
        <w:rPr>
          <w:rFonts w:ascii="Arial" w:hAnsi="Arial" w:cs="Arial"/>
          <w:sz w:val="20"/>
          <w:szCs w:val="20"/>
          <w:lang w:val="en-GB"/>
        </w:rPr>
        <w:t xml:space="preserve">, </w:t>
      </w:r>
      <w:r>
        <w:rPr>
          <w:rFonts w:ascii="Arial" w:hAnsi="Arial" w:cs="Arial"/>
          <w:sz w:val="20"/>
          <w:szCs w:val="20"/>
          <w:lang w:val="en-GB"/>
        </w:rPr>
        <w:t xml:space="preserve">said </w:t>
      </w:r>
      <w:r w:rsidR="00D81B44" w:rsidRPr="000139BB">
        <w:rPr>
          <w:rFonts w:ascii="Arial" w:hAnsi="Arial" w:cs="Arial"/>
          <w:sz w:val="20"/>
          <w:szCs w:val="20"/>
          <w:lang w:val="en-GB"/>
        </w:rPr>
        <w:t xml:space="preserve">Guillaume Baqué, </w:t>
      </w:r>
      <w:r>
        <w:rPr>
          <w:rFonts w:ascii="Arial" w:hAnsi="Arial" w:cs="Arial"/>
          <w:sz w:val="20"/>
          <w:szCs w:val="20"/>
          <w:lang w:val="en-GB"/>
        </w:rPr>
        <w:t>E</w:t>
      </w:r>
      <w:r w:rsidRPr="000139BB">
        <w:rPr>
          <w:rFonts w:ascii="Arial" w:hAnsi="Arial" w:cs="Arial"/>
          <w:sz w:val="20"/>
          <w:szCs w:val="20"/>
          <w:lang w:val="en-GB"/>
        </w:rPr>
        <w:t>conomist</w:t>
      </w:r>
      <w:r w:rsidR="00D81B44" w:rsidRPr="000139BB">
        <w:rPr>
          <w:rFonts w:ascii="Arial" w:hAnsi="Arial" w:cs="Arial"/>
          <w:sz w:val="20"/>
          <w:szCs w:val="20"/>
          <w:lang w:val="en-GB"/>
        </w:rPr>
        <w:t xml:space="preserve"> </w:t>
      </w:r>
      <w:r>
        <w:rPr>
          <w:rFonts w:ascii="Arial" w:hAnsi="Arial" w:cs="Arial"/>
          <w:sz w:val="20"/>
          <w:szCs w:val="20"/>
          <w:lang w:val="en-GB"/>
        </w:rPr>
        <w:t>at</w:t>
      </w:r>
      <w:r w:rsidR="00D81B44" w:rsidRPr="000139BB">
        <w:rPr>
          <w:rFonts w:ascii="Arial" w:hAnsi="Arial" w:cs="Arial"/>
          <w:sz w:val="20"/>
          <w:szCs w:val="20"/>
          <w:lang w:val="en-GB"/>
        </w:rPr>
        <w:t xml:space="preserve"> Coface.</w:t>
      </w:r>
    </w:p>
    <w:p w:rsidR="00C336BF" w:rsidRDefault="00C336BF" w:rsidP="00D81B44">
      <w:pPr>
        <w:spacing w:line="270" w:lineRule="exact"/>
        <w:jc w:val="both"/>
        <w:rPr>
          <w:rFonts w:ascii="Arial" w:hAnsi="Arial" w:cs="Arial"/>
          <w:sz w:val="20"/>
          <w:szCs w:val="20"/>
          <w:lang w:val="en-GB"/>
        </w:rPr>
      </w:pPr>
      <w:bookmarkStart w:id="0" w:name="_GoBack"/>
      <w:bookmarkEnd w:id="0"/>
    </w:p>
    <w:p w:rsidR="00A05B89" w:rsidRPr="000139BB" w:rsidRDefault="00306305" w:rsidP="00D86ECE">
      <w:pPr>
        <w:suppressAutoHyphens/>
        <w:autoSpaceDE w:val="0"/>
        <w:autoSpaceDN w:val="0"/>
        <w:adjustRightInd w:val="0"/>
        <w:spacing w:line="270" w:lineRule="exact"/>
        <w:jc w:val="both"/>
        <w:rPr>
          <w:rFonts w:ascii="Arial" w:hAnsi="Arial" w:cs="Arial"/>
          <w:b/>
          <w:bCs/>
          <w:sz w:val="22"/>
          <w:szCs w:val="22"/>
          <w:lang w:val="en-GB"/>
        </w:rPr>
      </w:pPr>
      <w:r w:rsidRPr="000139BB">
        <w:rPr>
          <w:rFonts w:ascii="Arial" w:hAnsi="Arial" w:cs="Arial"/>
          <w:b/>
          <w:bCs/>
          <w:sz w:val="22"/>
          <w:szCs w:val="22"/>
          <w:lang w:val="en-GB"/>
        </w:rPr>
        <w:t xml:space="preserve">Top 3 </w:t>
      </w:r>
      <w:r w:rsidR="008D0D75">
        <w:rPr>
          <w:rFonts w:ascii="Arial" w:hAnsi="Arial" w:cs="Arial"/>
          <w:b/>
          <w:bCs/>
          <w:sz w:val="22"/>
          <w:szCs w:val="22"/>
          <w:lang w:val="en-GB"/>
        </w:rPr>
        <w:t>worst hit sectors</w:t>
      </w:r>
      <w:r w:rsidRPr="000139BB">
        <w:rPr>
          <w:rFonts w:ascii="Arial" w:hAnsi="Arial" w:cs="Arial"/>
          <w:b/>
          <w:bCs/>
          <w:sz w:val="22"/>
          <w:szCs w:val="22"/>
          <w:lang w:val="en-GB"/>
        </w:rPr>
        <w:t xml:space="preserve">: </w:t>
      </w:r>
      <w:r w:rsidR="008D0D75">
        <w:rPr>
          <w:rFonts w:ascii="Arial" w:hAnsi="Arial" w:cs="Arial"/>
          <w:b/>
          <w:bCs/>
          <w:sz w:val="22"/>
          <w:szCs w:val="22"/>
          <w:lang w:val="en-GB"/>
        </w:rPr>
        <w:t>Metals, C</w:t>
      </w:r>
      <w:r w:rsidRPr="000139BB">
        <w:rPr>
          <w:rFonts w:ascii="Arial" w:hAnsi="Arial" w:cs="Arial"/>
          <w:b/>
          <w:bCs/>
          <w:sz w:val="22"/>
          <w:szCs w:val="22"/>
          <w:lang w:val="en-GB"/>
        </w:rPr>
        <w:t xml:space="preserve">onstruction </w:t>
      </w:r>
      <w:r w:rsidR="008D0D75">
        <w:rPr>
          <w:rFonts w:ascii="Arial" w:hAnsi="Arial" w:cs="Arial"/>
          <w:b/>
          <w:bCs/>
          <w:sz w:val="22"/>
          <w:szCs w:val="22"/>
          <w:lang w:val="en-GB"/>
        </w:rPr>
        <w:t>and S</w:t>
      </w:r>
      <w:r w:rsidRPr="000139BB">
        <w:rPr>
          <w:rFonts w:ascii="Arial" w:hAnsi="Arial" w:cs="Arial"/>
          <w:b/>
          <w:bCs/>
          <w:sz w:val="22"/>
          <w:szCs w:val="22"/>
          <w:lang w:val="en-GB"/>
        </w:rPr>
        <w:t xml:space="preserve">ervices </w:t>
      </w:r>
      <w:r w:rsidR="008D0D75">
        <w:rPr>
          <w:rFonts w:ascii="Arial" w:hAnsi="Arial" w:cs="Arial"/>
          <w:b/>
          <w:bCs/>
          <w:sz w:val="22"/>
          <w:szCs w:val="22"/>
          <w:lang w:val="en-GB"/>
        </w:rPr>
        <w:t xml:space="preserve">to </w:t>
      </w:r>
      <w:r w:rsidR="00F60BF9">
        <w:rPr>
          <w:rFonts w:ascii="Arial" w:hAnsi="Arial" w:cs="Arial"/>
          <w:b/>
          <w:bCs/>
          <w:sz w:val="22"/>
          <w:szCs w:val="22"/>
          <w:lang w:val="en-GB"/>
        </w:rPr>
        <w:t>Individuals</w:t>
      </w:r>
    </w:p>
    <w:p w:rsidR="00A05B89" w:rsidRPr="000139BB" w:rsidRDefault="00A05B89" w:rsidP="00D86ECE">
      <w:pPr>
        <w:suppressAutoHyphens/>
        <w:autoSpaceDE w:val="0"/>
        <w:autoSpaceDN w:val="0"/>
        <w:adjustRightInd w:val="0"/>
        <w:spacing w:line="270" w:lineRule="exact"/>
        <w:jc w:val="both"/>
        <w:rPr>
          <w:noProof/>
          <w:lang w:val="en-GB"/>
        </w:rPr>
      </w:pPr>
    </w:p>
    <w:p w:rsidR="00A05B89" w:rsidRPr="000139BB" w:rsidRDefault="00F37E79" w:rsidP="00D86ECE">
      <w:pPr>
        <w:suppressAutoHyphens/>
        <w:autoSpaceDE w:val="0"/>
        <w:autoSpaceDN w:val="0"/>
        <w:adjustRightInd w:val="0"/>
        <w:spacing w:line="270" w:lineRule="exact"/>
        <w:jc w:val="both"/>
        <w:rPr>
          <w:rFonts w:ascii="Arial" w:hAnsi="Arial" w:cs="Arial"/>
          <w:sz w:val="20"/>
          <w:szCs w:val="20"/>
          <w:lang w:val="en-GB"/>
        </w:rPr>
      </w:pPr>
      <w:r w:rsidRPr="000139BB">
        <w:rPr>
          <w:noProof/>
          <w:lang w:val="ro-RO" w:eastAsia="ro-RO"/>
        </w:rPr>
        <w:drawing>
          <wp:anchor distT="0" distB="0" distL="114300" distR="114300" simplePos="0" relativeHeight="251665408" behindDoc="0" locked="0" layoutInCell="1" allowOverlap="1" wp14:anchorId="1C03C611" wp14:editId="57D235AB">
            <wp:simplePos x="0" y="0"/>
            <wp:positionH relativeFrom="column">
              <wp:posOffset>3020060</wp:posOffset>
            </wp:positionH>
            <wp:positionV relativeFrom="paragraph">
              <wp:posOffset>401320</wp:posOffset>
            </wp:positionV>
            <wp:extent cx="2599690" cy="18478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2197" t="35023" r="35868" b="37261"/>
                    <a:stretch/>
                  </pic:blipFill>
                  <pic:spPr bwMode="auto">
                    <a:xfrm>
                      <a:off x="0" y="0"/>
                      <a:ext cx="259969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233">
        <w:rPr>
          <w:rFonts w:ascii="Arial" w:hAnsi="Arial" w:cs="Arial"/>
          <w:sz w:val="20"/>
          <w:szCs w:val="20"/>
          <w:lang w:val="en-GB"/>
        </w:rPr>
        <w:t xml:space="preserve">There was a sharp decline in </w:t>
      </w:r>
      <w:r w:rsidR="0058685A">
        <w:rPr>
          <w:rFonts w:ascii="Arial" w:hAnsi="Arial" w:cs="Arial"/>
          <w:sz w:val="20"/>
          <w:szCs w:val="20"/>
          <w:lang w:val="en-GB"/>
        </w:rPr>
        <w:t>insolvencies</w:t>
      </w:r>
      <w:r w:rsidR="0081179E" w:rsidRPr="000139BB">
        <w:rPr>
          <w:rFonts w:ascii="Arial" w:hAnsi="Arial" w:cs="Arial"/>
          <w:sz w:val="20"/>
          <w:szCs w:val="20"/>
          <w:lang w:val="en-GB"/>
        </w:rPr>
        <w:t xml:space="preserve"> </w:t>
      </w:r>
      <w:r w:rsidR="00524233">
        <w:rPr>
          <w:rFonts w:ascii="Arial" w:hAnsi="Arial" w:cs="Arial"/>
          <w:sz w:val="20"/>
          <w:szCs w:val="20"/>
          <w:lang w:val="en-GB"/>
        </w:rPr>
        <w:t xml:space="preserve">in businesses with turnovers between 2.5 and </w:t>
      </w:r>
      <w:r w:rsidR="00A05B89" w:rsidRPr="000139BB">
        <w:rPr>
          <w:rFonts w:ascii="Arial" w:hAnsi="Arial" w:cs="Arial"/>
          <w:sz w:val="20"/>
          <w:szCs w:val="20"/>
          <w:lang w:val="en-GB"/>
        </w:rPr>
        <w:t>10 million</w:t>
      </w:r>
      <w:r w:rsidR="0058685A">
        <w:rPr>
          <w:rFonts w:ascii="Arial" w:hAnsi="Arial" w:cs="Arial"/>
          <w:sz w:val="20"/>
          <w:szCs w:val="20"/>
          <w:lang w:val="en-GB"/>
        </w:rPr>
        <w:t xml:space="preserve"> </w:t>
      </w:r>
      <w:r w:rsidR="00524233">
        <w:rPr>
          <w:rFonts w:ascii="Arial" w:hAnsi="Arial" w:cs="Arial"/>
          <w:sz w:val="20"/>
          <w:szCs w:val="20"/>
          <w:lang w:val="en-GB"/>
        </w:rPr>
        <w:t xml:space="preserve">euros, at the same time as those among larger companies (over </w:t>
      </w:r>
      <w:r w:rsidR="00A05B89" w:rsidRPr="000139BB">
        <w:rPr>
          <w:rFonts w:ascii="Arial" w:hAnsi="Arial" w:cs="Arial"/>
          <w:sz w:val="20"/>
          <w:szCs w:val="20"/>
          <w:lang w:val="en-GB"/>
        </w:rPr>
        <w:t>10 million</w:t>
      </w:r>
      <w:r w:rsidR="0058685A">
        <w:rPr>
          <w:rFonts w:ascii="Arial" w:hAnsi="Arial" w:cs="Arial"/>
          <w:sz w:val="20"/>
          <w:szCs w:val="20"/>
          <w:lang w:val="en-GB"/>
        </w:rPr>
        <w:t xml:space="preserve"> </w:t>
      </w:r>
      <w:r w:rsidR="00A05B89" w:rsidRPr="000139BB">
        <w:rPr>
          <w:rFonts w:ascii="Arial" w:hAnsi="Arial" w:cs="Arial"/>
          <w:sz w:val="20"/>
          <w:szCs w:val="20"/>
          <w:lang w:val="en-GB"/>
        </w:rPr>
        <w:t xml:space="preserve">euros) </w:t>
      </w:r>
      <w:r w:rsidR="003A4B10">
        <w:rPr>
          <w:rFonts w:ascii="Arial" w:hAnsi="Arial" w:cs="Arial"/>
          <w:sz w:val="20"/>
          <w:szCs w:val="20"/>
          <w:lang w:val="en-GB"/>
        </w:rPr>
        <w:t xml:space="preserve">increased as of </w:t>
      </w:r>
      <w:r w:rsidR="00524233">
        <w:rPr>
          <w:rFonts w:ascii="Arial" w:hAnsi="Arial" w:cs="Arial"/>
          <w:sz w:val="20"/>
          <w:szCs w:val="20"/>
          <w:lang w:val="en-GB"/>
        </w:rPr>
        <w:t>the beginning of the year, but with a decline seen in April</w:t>
      </w:r>
      <w:r w:rsidR="00A05B89" w:rsidRPr="000139BB">
        <w:rPr>
          <w:rFonts w:ascii="Arial" w:hAnsi="Arial" w:cs="Arial"/>
          <w:sz w:val="20"/>
          <w:szCs w:val="20"/>
          <w:lang w:val="en-GB"/>
        </w:rPr>
        <w:t xml:space="preserve">. </w:t>
      </w:r>
    </w:p>
    <w:p w:rsidR="00A05B89" w:rsidRPr="000139BB" w:rsidRDefault="00A05B89" w:rsidP="00D86ECE">
      <w:pPr>
        <w:suppressAutoHyphens/>
        <w:autoSpaceDE w:val="0"/>
        <w:autoSpaceDN w:val="0"/>
        <w:adjustRightInd w:val="0"/>
        <w:spacing w:line="270" w:lineRule="exact"/>
        <w:jc w:val="both"/>
        <w:rPr>
          <w:rFonts w:ascii="Arial" w:hAnsi="Arial" w:cs="Arial"/>
          <w:sz w:val="20"/>
          <w:szCs w:val="20"/>
          <w:lang w:val="en-GB"/>
        </w:rPr>
      </w:pPr>
    </w:p>
    <w:p w:rsidR="00A05B89" w:rsidRPr="000139BB" w:rsidRDefault="00F37E79" w:rsidP="00D86ECE">
      <w:pPr>
        <w:suppressAutoHyphens/>
        <w:autoSpaceDE w:val="0"/>
        <w:autoSpaceDN w:val="0"/>
        <w:adjustRightInd w:val="0"/>
        <w:spacing w:line="270" w:lineRule="exact"/>
        <w:jc w:val="both"/>
        <w:rPr>
          <w:rFonts w:ascii="Arial" w:hAnsi="Arial" w:cs="Arial"/>
          <w:sz w:val="20"/>
          <w:szCs w:val="20"/>
          <w:lang w:val="en-GB"/>
        </w:rPr>
      </w:pPr>
      <w:r w:rsidRPr="000139BB">
        <w:rPr>
          <w:noProof/>
          <w:lang w:val="ro-RO" w:eastAsia="ro-RO"/>
        </w:rPr>
        <w:drawing>
          <wp:anchor distT="0" distB="0" distL="114300" distR="114300" simplePos="0" relativeHeight="251666432" behindDoc="0" locked="0" layoutInCell="1" allowOverlap="1" wp14:anchorId="3661C381" wp14:editId="5F95F24B">
            <wp:simplePos x="0" y="0"/>
            <wp:positionH relativeFrom="column">
              <wp:posOffset>2803525</wp:posOffset>
            </wp:positionH>
            <wp:positionV relativeFrom="paragraph">
              <wp:posOffset>1033145</wp:posOffset>
            </wp:positionV>
            <wp:extent cx="666750" cy="47815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2961" t="43949" r="60052" b="47134"/>
                    <a:stretch/>
                  </pic:blipFill>
                  <pic:spPr bwMode="auto">
                    <a:xfrm>
                      <a:off x="0" y="0"/>
                      <a:ext cx="666750"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233">
        <w:rPr>
          <w:rFonts w:ascii="Arial" w:hAnsi="Arial" w:cs="Arial"/>
          <w:sz w:val="20"/>
          <w:szCs w:val="20"/>
          <w:lang w:val="en-GB"/>
        </w:rPr>
        <w:t xml:space="preserve">In terms of the </w:t>
      </w:r>
      <w:r w:rsidR="00A05B89" w:rsidRPr="000139BB">
        <w:rPr>
          <w:rFonts w:ascii="Arial" w:hAnsi="Arial" w:cs="Arial"/>
          <w:sz w:val="20"/>
          <w:szCs w:val="20"/>
          <w:lang w:val="en-GB"/>
        </w:rPr>
        <w:t xml:space="preserve">100 </w:t>
      </w:r>
      <w:r w:rsidR="00524233">
        <w:rPr>
          <w:rFonts w:ascii="Arial" w:hAnsi="Arial" w:cs="Arial"/>
          <w:sz w:val="20"/>
          <w:szCs w:val="20"/>
          <w:lang w:val="en-GB"/>
        </w:rPr>
        <w:t xml:space="preserve">biggest </w:t>
      </w:r>
      <w:r w:rsidR="0058685A">
        <w:rPr>
          <w:rFonts w:ascii="Arial" w:hAnsi="Arial" w:cs="Arial"/>
          <w:sz w:val="20"/>
          <w:szCs w:val="20"/>
          <w:lang w:val="en-GB"/>
        </w:rPr>
        <w:t>insolvencies</w:t>
      </w:r>
      <w:r w:rsidR="00A05B89" w:rsidRPr="000139BB">
        <w:rPr>
          <w:rFonts w:ascii="Arial" w:hAnsi="Arial" w:cs="Arial"/>
          <w:sz w:val="20"/>
          <w:szCs w:val="20"/>
          <w:lang w:val="en-GB"/>
        </w:rPr>
        <w:t xml:space="preserve"> </w:t>
      </w:r>
      <w:r w:rsidR="00524233">
        <w:rPr>
          <w:rFonts w:ascii="Arial" w:hAnsi="Arial" w:cs="Arial"/>
          <w:sz w:val="20"/>
          <w:szCs w:val="20"/>
          <w:lang w:val="en-GB"/>
        </w:rPr>
        <w:t>by turnover, three sectors stood out: Metals</w:t>
      </w:r>
      <w:r w:rsidR="0081179E" w:rsidRPr="000139BB">
        <w:rPr>
          <w:rFonts w:ascii="Arial" w:hAnsi="Arial" w:cs="Arial"/>
          <w:sz w:val="20"/>
          <w:szCs w:val="20"/>
          <w:lang w:val="en-GB"/>
        </w:rPr>
        <w:t xml:space="preserve"> (15</w:t>
      </w:r>
      <w:r w:rsidR="00A05B89" w:rsidRPr="000139BB">
        <w:rPr>
          <w:rFonts w:ascii="Arial" w:hAnsi="Arial" w:cs="Arial"/>
          <w:sz w:val="20"/>
          <w:szCs w:val="20"/>
          <w:lang w:val="en-GB"/>
        </w:rPr>
        <w:t xml:space="preserve">% </w:t>
      </w:r>
      <w:r w:rsidR="00524233">
        <w:rPr>
          <w:rFonts w:ascii="Arial" w:hAnsi="Arial" w:cs="Arial"/>
          <w:sz w:val="20"/>
          <w:szCs w:val="20"/>
          <w:lang w:val="en-GB"/>
        </w:rPr>
        <w:t xml:space="preserve">of the </w:t>
      </w:r>
      <w:r w:rsidR="00A05B89" w:rsidRPr="000139BB">
        <w:rPr>
          <w:rFonts w:ascii="Arial" w:hAnsi="Arial" w:cs="Arial"/>
          <w:sz w:val="20"/>
          <w:szCs w:val="20"/>
          <w:lang w:val="en-GB"/>
        </w:rPr>
        <w:t xml:space="preserve">total), </w:t>
      </w:r>
      <w:r w:rsidR="00524233">
        <w:rPr>
          <w:rFonts w:ascii="Arial" w:hAnsi="Arial" w:cs="Arial"/>
          <w:sz w:val="20"/>
          <w:szCs w:val="20"/>
          <w:lang w:val="en-GB"/>
        </w:rPr>
        <w:t>C</w:t>
      </w:r>
      <w:r w:rsidR="00A05B89" w:rsidRPr="000139BB">
        <w:rPr>
          <w:rFonts w:ascii="Arial" w:hAnsi="Arial" w:cs="Arial"/>
          <w:sz w:val="20"/>
          <w:szCs w:val="20"/>
          <w:lang w:val="en-GB"/>
        </w:rPr>
        <w:t xml:space="preserve">onstruction (17%) </w:t>
      </w:r>
      <w:r w:rsidR="00524233">
        <w:rPr>
          <w:rFonts w:ascii="Arial" w:hAnsi="Arial" w:cs="Arial"/>
          <w:sz w:val="20"/>
          <w:szCs w:val="20"/>
          <w:lang w:val="en-GB"/>
        </w:rPr>
        <w:t>and S</w:t>
      </w:r>
      <w:r w:rsidR="00A05B89" w:rsidRPr="000139BB">
        <w:rPr>
          <w:rFonts w:ascii="Arial" w:hAnsi="Arial" w:cs="Arial"/>
          <w:sz w:val="20"/>
          <w:szCs w:val="20"/>
          <w:lang w:val="en-GB"/>
        </w:rPr>
        <w:t xml:space="preserve">ervices </w:t>
      </w:r>
      <w:r w:rsidR="00524233">
        <w:rPr>
          <w:rFonts w:ascii="Arial" w:hAnsi="Arial" w:cs="Arial"/>
          <w:sz w:val="20"/>
          <w:szCs w:val="20"/>
          <w:lang w:val="en-GB"/>
        </w:rPr>
        <w:t>to Individuals</w:t>
      </w:r>
      <w:r w:rsidR="00A05B89" w:rsidRPr="000139BB">
        <w:rPr>
          <w:rFonts w:ascii="Arial" w:hAnsi="Arial" w:cs="Arial"/>
          <w:sz w:val="20"/>
          <w:szCs w:val="20"/>
          <w:lang w:val="en-GB"/>
        </w:rPr>
        <w:t xml:space="preserve"> (5%)</w:t>
      </w:r>
      <w:r w:rsidR="00E500C0">
        <w:rPr>
          <w:rFonts w:ascii="Arial" w:hAnsi="Arial" w:cs="Arial"/>
          <w:sz w:val="20"/>
          <w:szCs w:val="20"/>
          <w:lang w:val="en-GB"/>
        </w:rPr>
        <w:t>,</w:t>
      </w:r>
      <w:r w:rsidR="00A05B89" w:rsidRPr="000139BB">
        <w:rPr>
          <w:rFonts w:ascii="Arial" w:hAnsi="Arial" w:cs="Arial"/>
          <w:sz w:val="20"/>
          <w:szCs w:val="20"/>
          <w:lang w:val="en-GB"/>
        </w:rPr>
        <w:t xml:space="preserve"> </w:t>
      </w:r>
      <w:r w:rsidR="00524233">
        <w:rPr>
          <w:rFonts w:ascii="Arial" w:hAnsi="Arial" w:cs="Arial"/>
          <w:sz w:val="20"/>
          <w:szCs w:val="20"/>
          <w:lang w:val="en-GB"/>
        </w:rPr>
        <w:t xml:space="preserve">which joined this ranking for the first time. These were also the three sectors out of the eleven examined that experienced increases in </w:t>
      </w:r>
      <w:r w:rsidR="0058685A">
        <w:rPr>
          <w:rFonts w:ascii="Arial" w:hAnsi="Arial" w:cs="Arial"/>
          <w:sz w:val="20"/>
          <w:szCs w:val="20"/>
          <w:lang w:val="en-GB"/>
        </w:rPr>
        <w:t>insolvencies</w:t>
      </w:r>
      <w:r w:rsidR="00A05B89" w:rsidRPr="000139BB">
        <w:rPr>
          <w:rFonts w:ascii="Arial" w:hAnsi="Arial" w:cs="Arial"/>
          <w:sz w:val="20"/>
          <w:szCs w:val="20"/>
          <w:lang w:val="en-GB"/>
        </w:rPr>
        <w:t>.</w:t>
      </w:r>
    </w:p>
    <w:p w:rsidR="00306305" w:rsidRPr="000139BB" w:rsidRDefault="00306305" w:rsidP="00D86ECE">
      <w:pPr>
        <w:suppressAutoHyphens/>
        <w:autoSpaceDE w:val="0"/>
        <w:autoSpaceDN w:val="0"/>
        <w:adjustRightInd w:val="0"/>
        <w:spacing w:line="270" w:lineRule="exact"/>
        <w:jc w:val="both"/>
        <w:rPr>
          <w:noProof/>
          <w:lang w:val="en-GB"/>
        </w:rPr>
      </w:pPr>
    </w:p>
    <w:p w:rsidR="00110E79" w:rsidRPr="000139BB" w:rsidRDefault="00110E79" w:rsidP="00D86ECE">
      <w:pPr>
        <w:suppressAutoHyphens/>
        <w:autoSpaceDE w:val="0"/>
        <w:autoSpaceDN w:val="0"/>
        <w:adjustRightInd w:val="0"/>
        <w:spacing w:line="270" w:lineRule="exact"/>
        <w:jc w:val="both"/>
        <w:rPr>
          <w:noProof/>
          <w:lang w:val="en-GB"/>
        </w:rPr>
      </w:pPr>
    </w:p>
    <w:p w:rsidR="00E80E6F" w:rsidRPr="000139BB" w:rsidRDefault="00044C51" w:rsidP="00D86ECE">
      <w:pPr>
        <w:suppressAutoHyphens/>
        <w:autoSpaceDE w:val="0"/>
        <w:autoSpaceDN w:val="0"/>
        <w:adjustRightInd w:val="0"/>
        <w:spacing w:line="270" w:lineRule="exact"/>
        <w:jc w:val="both"/>
        <w:rPr>
          <w:rFonts w:ascii="Arial" w:hAnsi="Arial" w:cs="Arial"/>
          <w:b/>
          <w:bCs/>
          <w:sz w:val="22"/>
          <w:szCs w:val="22"/>
          <w:lang w:val="en-GB"/>
        </w:rPr>
      </w:pPr>
      <w:r>
        <w:rPr>
          <w:rFonts w:ascii="Arial" w:hAnsi="Arial" w:cs="Arial"/>
          <w:b/>
          <w:bCs/>
          <w:sz w:val="22"/>
          <w:szCs w:val="22"/>
          <w:lang w:val="en-GB"/>
        </w:rPr>
        <w:t xml:space="preserve">Worsening in </w:t>
      </w:r>
      <w:r w:rsidR="0081179E" w:rsidRPr="000139BB">
        <w:rPr>
          <w:rFonts w:ascii="Arial" w:hAnsi="Arial" w:cs="Arial"/>
          <w:b/>
          <w:bCs/>
          <w:sz w:val="22"/>
          <w:szCs w:val="22"/>
          <w:lang w:val="en-GB"/>
        </w:rPr>
        <w:t>Ile-de-</w:t>
      </w:r>
      <w:r w:rsidR="00E80E6F" w:rsidRPr="000139BB">
        <w:rPr>
          <w:rFonts w:ascii="Arial" w:hAnsi="Arial" w:cs="Arial"/>
          <w:b/>
          <w:bCs/>
          <w:sz w:val="22"/>
          <w:szCs w:val="22"/>
          <w:lang w:val="en-GB"/>
        </w:rPr>
        <w:t xml:space="preserve">France, </w:t>
      </w:r>
      <w:r>
        <w:rPr>
          <w:rFonts w:ascii="Arial" w:hAnsi="Arial" w:cs="Arial"/>
          <w:b/>
          <w:bCs/>
          <w:sz w:val="22"/>
          <w:szCs w:val="22"/>
          <w:lang w:val="en-GB"/>
        </w:rPr>
        <w:t xml:space="preserve">lead region for </w:t>
      </w:r>
      <w:r w:rsidR="0058685A">
        <w:rPr>
          <w:rFonts w:ascii="Arial" w:hAnsi="Arial" w:cs="Arial"/>
          <w:b/>
          <w:bCs/>
          <w:sz w:val="22"/>
          <w:szCs w:val="22"/>
          <w:lang w:val="en-GB"/>
        </w:rPr>
        <w:t>insolvencies</w:t>
      </w:r>
    </w:p>
    <w:p w:rsidR="0063195E" w:rsidRPr="000139BB" w:rsidRDefault="0063195E" w:rsidP="00D86ECE">
      <w:pPr>
        <w:suppressAutoHyphens/>
        <w:autoSpaceDE w:val="0"/>
        <w:autoSpaceDN w:val="0"/>
        <w:adjustRightInd w:val="0"/>
        <w:spacing w:line="270" w:lineRule="exact"/>
        <w:jc w:val="both"/>
        <w:rPr>
          <w:rFonts w:ascii="Arial" w:hAnsi="Arial" w:cs="Arial"/>
          <w:bCs/>
          <w:sz w:val="20"/>
          <w:szCs w:val="20"/>
          <w:lang w:val="en-GB"/>
        </w:rPr>
      </w:pPr>
    </w:p>
    <w:p w:rsidR="00A05B89" w:rsidRPr="000139BB" w:rsidRDefault="00044C51" w:rsidP="00D86ECE">
      <w:pPr>
        <w:suppressAutoHyphens/>
        <w:autoSpaceDE w:val="0"/>
        <w:autoSpaceDN w:val="0"/>
        <w:adjustRightInd w:val="0"/>
        <w:spacing w:line="270" w:lineRule="exact"/>
        <w:jc w:val="both"/>
        <w:rPr>
          <w:rFonts w:ascii="Arial" w:hAnsi="Arial" w:cs="Arial"/>
          <w:bCs/>
          <w:sz w:val="20"/>
          <w:szCs w:val="20"/>
          <w:lang w:val="en-GB"/>
        </w:rPr>
      </w:pPr>
      <w:r>
        <w:rPr>
          <w:rFonts w:ascii="Arial" w:hAnsi="Arial" w:cs="Arial"/>
          <w:bCs/>
          <w:sz w:val="20"/>
          <w:szCs w:val="20"/>
          <w:lang w:val="en-GB"/>
        </w:rPr>
        <w:t>There has been a certain amount of change in the map of insolvencies</w:t>
      </w:r>
      <w:r w:rsidRPr="000139BB">
        <w:rPr>
          <w:rFonts w:ascii="Arial" w:hAnsi="Arial" w:cs="Arial"/>
          <w:bCs/>
          <w:sz w:val="20"/>
          <w:szCs w:val="20"/>
          <w:lang w:val="en-GB"/>
        </w:rPr>
        <w:t xml:space="preserve"> </w:t>
      </w:r>
      <w:r>
        <w:rPr>
          <w:rFonts w:ascii="Arial" w:hAnsi="Arial" w:cs="Arial"/>
          <w:bCs/>
          <w:sz w:val="20"/>
          <w:szCs w:val="20"/>
          <w:lang w:val="en-GB"/>
        </w:rPr>
        <w:t xml:space="preserve">in </w:t>
      </w:r>
      <w:r w:rsidR="00A05B89" w:rsidRPr="000139BB">
        <w:rPr>
          <w:rFonts w:ascii="Arial" w:hAnsi="Arial" w:cs="Arial"/>
          <w:bCs/>
          <w:sz w:val="20"/>
          <w:szCs w:val="20"/>
          <w:lang w:val="en-GB"/>
        </w:rPr>
        <w:t xml:space="preserve">France. Six </w:t>
      </w:r>
      <w:r w:rsidRPr="000139BB">
        <w:rPr>
          <w:rFonts w:ascii="Arial" w:hAnsi="Arial" w:cs="Arial"/>
          <w:bCs/>
          <w:sz w:val="20"/>
          <w:szCs w:val="20"/>
          <w:lang w:val="en-GB"/>
        </w:rPr>
        <w:t>regions</w:t>
      </w:r>
      <w:r w:rsidR="00A05B89" w:rsidRPr="000139BB">
        <w:rPr>
          <w:rFonts w:ascii="Arial" w:hAnsi="Arial" w:cs="Arial"/>
          <w:bCs/>
          <w:sz w:val="20"/>
          <w:szCs w:val="20"/>
          <w:lang w:val="en-GB"/>
        </w:rPr>
        <w:t xml:space="preserve"> </w:t>
      </w:r>
      <w:r>
        <w:rPr>
          <w:rFonts w:ascii="Arial" w:hAnsi="Arial" w:cs="Arial"/>
          <w:bCs/>
          <w:sz w:val="20"/>
          <w:szCs w:val="20"/>
          <w:lang w:val="en-GB"/>
        </w:rPr>
        <w:t xml:space="preserve">recorded </w:t>
      </w:r>
      <w:r w:rsidR="004C4379">
        <w:rPr>
          <w:rFonts w:ascii="Arial" w:hAnsi="Arial" w:cs="Arial"/>
          <w:bCs/>
          <w:sz w:val="20"/>
          <w:szCs w:val="20"/>
          <w:lang w:val="en-GB"/>
        </w:rPr>
        <w:t xml:space="preserve">clear improvements, with declines in the number of </w:t>
      </w:r>
      <w:r w:rsidR="0058685A">
        <w:rPr>
          <w:rFonts w:ascii="Arial" w:hAnsi="Arial" w:cs="Arial"/>
          <w:bCs/>
          <w:sz w:val="20"/>
          <w:szCs w:val="20"/>
          <w:lang w:val="en-GB"/>
        </w:rPr>
        <w:t>insolvencies</w:t>
      </w:r>
      <w:r w:rsidR="00E500C0" w:rsidRPr="00E500C0">
        <w:rPr>
          <w:rFonts w:ascii="Arial" w:hAnsi="Arial" w:cs="Arial"/>
          <w:bCs/>
          <w:sz w:val="20"/>
          <w:szCs w:val="20"/>
          <w:lang w:val="en-GB"/>
        </w:rPr>
        <w:t xml:space="preserve"> </w:t>
      </w:r>
      <w:r w:rsidR="00E500C0">
        <w:rPr>
          <w:rFonts w:ascii="Arial" w:hAnsi="Arial" w:cs="Arial"/>
          <w:bCs/>
          <w:sz w:val="20"/>
          <w:szCs w:val="20"/>
          <w:lang w:val="en-GB"/>
        </w:rPr>
        <w:t xml:space="preserve">of more than </w:t>
      </w:r>
      <w:r w:rsidR="00E500C0" w:rsidRPr="000139BB">
        <w:rPr>
          <w:rFonts w:ascii="Arial" w:hAnsi="Arial" w:cs="Arial"/>
          <w:bCs/>
          <w:sz w:val="20"/>
          <w:szCs w:val="20"/>
          <w:lang w:val="en-GB"/>
        </w:rPr>
        <w:t>5%</w:t>
      </w:r>
      <w:r w:rsidR="00287CD7" w:rsidRPr="000139BB">
        <w:rPr>
          <w:rFonts w:ascii="Arial" w:hAnsi="Arial" w:cs="Arial"/>
          <w:bCs/>
          <w:sz w:val="20"/>
          <w:szCs w:val="20"/>
          <w:lang w:val="en-GB"/>
        </w:rPr>
        <w:t xml:space="preserve">, </w:t>
      </w:r>
      <w:r w:rsidR="004C4379">
        <w:rPr>
          <w:rFonts w:ascii="Arial" w:hAnsi="Arial" w:cs="Arial"/>
          <w:bCs/>
          <w:sz w:val="20"/>
          <w:szCs w:val="20"/>
          <w:lang w:val="en-GB"/>
        </w:rPr>
        <w:t>particular</w:t>
      </w:r>
      <w:r w:rsidR="00E500C0">
        <w:rPr>
          <w:rFonts w:ascii="Arial" w:hAnsi="Arial" w:cs="Arial"/>
          <w:bCs/>
          <w:sz w:val="20"/>
          <w:szCs w:val="20"/>
          <w:lang w:val="en-GB"/>
        </w:rPr>
        <w:t>ly in</w:t>
      </w:r>
      <w:r w:rsidR="004C4379">
        <w:rPr>
          <w:rFonts w:ascii="Arial" w:hAnsi="Arial" w:cs="Arial"/>
          <w:bCs/>
          <w:sz w:val="20"/>
          <w:szCs w:val="20"/>
          <w:lang w:val="en-GB"/>
        </w:rPr>
        <w:t xml:space="preserve"> </w:t>
      </w:r>
      <w:r w:rsidR="00A05B89" w:rsidRPr="000139BB">
        <w:rPr>
          <w:rFonts w:ascii="Arial" w:hAnsi="Arial" w:cs="Arial"/>
          <w:bCs/>
          <w:sz w:val="20"/>
          <w:szCs w:val="20"/>
          <w:lang w:val="en-GB"/>
        </w:rPr>
        <w:t>Aquitaine</w:t>
      </w:r>
      <w:r w:rsidR="00734E57" w:rsidRPr="000139BB">
        <w:rPr>
          <w:rFonts w:ascii="Arial" w:hAnsi="Arial" w:cs="Arial"/>
          <w:bCs/>
          <w:sz w:val="20"/>
          <w:szCs w:val="20"/>
          <w:lang w:val="en-GB"/>
        </w:rPr>
        <w:t xml:space="preserve"> (-10</w:t>
      </w:r>
      <w:r w:rsidR="0058685A">
        <w:rPr>
          <w:rFonts w:ascii="Arial" w:hAnsi="Arial" w:cs="Arial"/>
          <w:bCs/>
          <w:sz w:val="20"/>
          <w:szCs w:val="20"/>
          <w:lang w:val="en-GB"/>
        </w:rPr>
        <w:t>.</w:t>
      </w:r>
      <w:r w:rsidR="00734E57" w:rsidRPr="000139BB">
        <w:rPr>
          <w:rFonts w:ascii="Arial" w:hAnsi="Arial" w:cs="Arial"/>
          <w:bCs/>
          <w:sz w:val="20"/>
          <w:szCs w:val="20"/>
          <w:lang w:val="en-GB"/>
        </w:rPr>
        <w:t xml:space="preserve">2%) </w:t>
      </w:r>
      <w:r w:rsidR="004C4379">
        <w:rPr>
          <w:rFonts w:ascii="Arial" w:hAnsi="Arial" w:cs="Arial"/>
          <w:bCs/>
          <w:sz w:val="20"/>
          <w:szCs w:val="20"/>
          <w:lang w:val="en-GB"/>
        </w:rPr>
        <w:t xml:space="preserve">and </w:t>
      </w:r>
      <w:r w:rsidR="00734E57" w:rsidRPr="000139BB">
        <w:rPr>
          <w:rFonts w:ascii="Arial" w:hAnsi="Arial" w:cs="Arial"/>
          <w:bCs/>
          <w:sz w:val="20"/>
          <w:szCs w:val="20"/>
          <w:lang w:val="en-GB"/>
        </w:rPr>
        <w:t>Limousin (-8%</w:t>
      </w:r>
      <w:r w:rsidR="00A05B89" w:rsidRPr="000139BB">
        <w:rPr>
          <w:rFonts w:ascii="Arial" w:hAnsi="Arial" w:cs="Arial"/>
          <w:bCs/>
          <w:sz w:val="20"/>
          <w:szCs w:val="20"/>
          <w:lang w:val="en-GB"/>
        </w:rPr>
        <w:t xml:space="preserve">). </w:t>
      </w:r>
    </w:p>
    <w:p w:rsidR="00A05B89" w:rsidRPr="000139BB" w:rsidRDefault="00A05B89" w:rsidP="00D86ECE">
      <w:pPr>
        <w:suppressAutoHyphens/>
        <w:autoSpaceDE w:val="0"/>
        <w:autoSpaceDN w:val="0"/>
        <w:adjustRightInd w:val="0"/>
        <w:spacing w:line="270" w:lineRule="exact"/>
        <w:jc w:val="both"/>
        <w:rPr>
          <w:rFonts w:ascii="Arial" w:hAnsi="Arial" w:cs="Arial"/>
          <w:bCs/>
          <w:sz w:val="20"/>
          <w:szCs w:val="20"/>
          <w:lang w:val="en-GB"/>
        </w:rPr>
      </w:pPr>
    </w:p>
    <w:p w:rsidR="00A05B89" w:rsidRPr="000139BB" w:rsidRDefault="00E500C0" w:rsidP="00D86ECE">
      <w:pPr>
        <w:suppressAutoHyphens/>
        <w:autoSpaceDE w:val="0"/>
        <w:autoSpaceDN w:val="0"/>
        <w:adjustRightInd w:val="0"/>
        <w:spacing w:line="270" w:lineRule="exact"/>
        <w:jc w:val="both"/>
        <w:rPr>
          <w:rFonts w:ascii="Arial" w:hAnsi="Arial" w:cs="Arial"/>
          <w:bCs/>
          <w:sz w:val="20"/>
          <w:szCs w:val="20"/>
          <w:lang w:val="en-GB"/>
        </w:rPr>
      </w:pPr>
      <w:r>
        <w:rPr>
          <w:rFonts w:ascii="Arial" w:hAnsi="Arial" w:cs="Arial"/>
          <w:bCs/>
          <w:sz w:val="20"/>
          <w:szCs w:val="20"/>
          <w:lang w:val="en-GB"/>
        </w:rPr>
        <w:t>Only f</w:t>
      </w:r>
      <w:r w:rsidR="004C4379">
        <w:rPr>
          <w:rFonts w:ascii="Arial" w:hAnsi="Arial" w:cs="Arial"/>
          <w:bCs/>
          <w:sz w:val="20"/>
          <w:szCs w:val="20"/>
          <w:lang w:val="en-GB"/>
        </w:rPr>
        <w:t xml:space="preserve">ive regions recorded higher levels, ranging between </w:t>
      </w:r>
      <w:r w:rsidR="00A05B89" w:rsidRPr="000139BB">
        <w:rPr>
          <w:rFonts w:ascii="Arial" w:hAnsi="Arial" w:cs="Arial"/>
          <w:bCs/>
          <w:sz w:val="20"/>
          <w:szCs w:val="20"/>
          <w:lang w:val="en-GB"/>
        </w:rPr>
        <w:t>+5</w:t>
      </w:r>
      <w:r w:rsidR="0058685A">
        <w:rPr>
          <w:rFonts w:ascii="Arial" w:hAnsi="Arial" w:cs="Arial"/>
          <w:bCs/>
          <w:sz w:val="20"/>
          <w:szCs w:val="20"/>
          <w:lang w:val="en-GB"/>
        </w:rPr>
        <w:t>.</w:t>
      </w:r>
      <w:r w:rsidR="00A05B89" w:rsidRPr="000139BB">
        <w:rPr>
          <w:rFonts w:ascii="Arial" w:hAnsi="Arial" w:cs="Arial"/>
          <w:bCs/>
          <w:sz w:val="20"/>
          <w:szCs w:val="20"/>
          <w:lang w:val="en-GB"/>
        </w:rPr>
        <w:t xml:space="preserve">1% </w:t>
      </w:r>
      <w:r w:rsidR="004C4379">
        <w:rPr>
          <w:rFonts w:ascii="Arial" w:hAnsi="Arial" w:cs="Arial"/>
          <w:bCs/>
          <w:sz w:val="20"/>
          <w:szCs w:val="20"/>
          <w:lang w:val="en-GB"/>
        </w:rPr>
        <w:t xml:space="preserve">for </w:t>
      </w:r>
      <w:r w:rsidR="00A05B89" w:rsidRPr="000139BB">
        <w:rPr>
          <w:rFonts w:ascii="Arial" w:hAnsi="Arial" w:cs="Arial"/>
          <w:bCs/>
          <w:sz w:val="20"/>
          <w:szCs w:val="20"/>
          <w:lang w:val="en-GB"/>
        </w:rPr>
        <w:t xml:space="preserve">Alsace </w:t>
      </w:r>
      <w:r w:rsidR="004C4379">
        <w:rPr>
          <w:rFonts w:ascii="Arial" w:hAnsi="Arial" w:cs="Arial"/>
          <w:bCs/>
          <w:sz w:val="20"/>
          <w:szCs w:val="20"/>
          <w:lang w:val="en-GB"/>
        </w:rPr>
        <w:t>and</w:t>
      </w:r>
      <w:r w:rsidR="00A05B89" w:rsidRPr="000139BB">
        <w:rPr>
          <w:rFonts w:ascii="Arial" w:hAnsi="Arial" w:cs="Arial"/>
          <w:bCs/>
          <w:sz w:val="20"/>
          <w:szCs w:val="20"/>
          <w:lang w:val="en-GB"/>
        </w:rPr>
        <w:t xml:space="preserve"> +0</w:t>
      </w:r>
      <w:r w:rsidR="004C4379">
        <w:rPr>
          <w:rFonts w:ascii="Arial" w:hAnsi="Arial" w:cs="Arial"/>
          <w:bCs/>
          <w:sz w:val="20"/>
          <w:szCs w:val="20"/>
          <w:lang w:val="en-GB"/>
        </w:rPr>
        <w:t>.</w:t>
      </w:r>
      <w:r w:rsidR="00A05B89" w:rsidRPr="000139BB">
        <w:rPr>
          <w:rFonts w:ascii="Arial" w:hAnsi="Arial" w:cs="Arial"/>
          <w:bCs/>
          <w:sz w:val="20"/>
          <w:szCs w:val="20"/>
          <w:lang w:val="en-GB"/>
        </w:rPr>
        <w:t xml:space="preserve">3% </w:t>
      </w:r>
      <w:r w:rsidR="004C4379">
        <w:rPr>
          <w:rFonts w:ascii="Arial" w:hAnsi="Arial" w:cs="Arial"/>
          <w:bCs/>
          <w:sz w:val="20"/>
          <w:szCs w:val="20"/>
          <w:lang w:val="en-GB"/>
        </w:rPr>
        <w:t xml:space="preserve">for the </w:t>
      </w:r>
      <w:r w:rsidR="00A05B89" w:rsidRPr="000139BB">
        <w:rPr>
          <w:rFonts w:ascii="Arial" w:hAnsi="Arial" w:cs="Arial"/>
          <w:bCs/>
          <w:sz w:val="20"/>
          <w:szCs w:val="20"/>
          <w:lang w:val="en-GB"/>
        </w:rPr>
        <w:t xml:space="preserve">Ile-de-France, </w:t>
      </w:r>
      <w:r w:rsidR="004C4379">
        <w:rPr>
          <w:rFonts w:ascii="Arial" w:hAnsi="Arial" w:cs="Arial"/>
          <w:bCs/>
          <w:sz w:val="20"/>
          <w:szCs w:val="20"/>
          <w:lang w:val="en-GB"/>
        </w:rPr>
        <w:t xml:space="preserve">the </w:t>
      </w:r>
      <w:r w:rsidR="00A05B89" w:rsidRPr="000139BB">
        <w:rPr>
          <w:rFonts w:ascii="Arial" w:hAnsi="Arial" w:cs="Arial"/>
          <w:bCs/>
          <w:sz w:val="20"/>
          <w:szCs w:val="20"/>
          <w:lang w:val="en-GB"/>
        </w:rPr>
        <w:t>r</w:t>
      </w:r>
      <w:r w:rsidR="004C4379">
        <w:rPr>
          <w:rFonts w:ascii="Arial" w:hAnsi="Arial" w:cs="Arial"/>
          <w:bCs/>
          <w:sz w:val="20"/>
          <w:szCs w:val="20"/>
          <w:lang w:val="en-GB"/>
        </w:rPr>
        <w:t>e</w:t>
      </w:r>
      <w:r w:rsidR="00A05B89" w:rsidRPr="000139BB">
        <w:rPr>
          <w:rFonts w:ascii="Arial" w:hAnsi="Arial" w:cs="Arial"/>
          <w:bCs/>
          <w:sz w:val="20"/>
          <w:szCs w:val="20"/>
          <w:lang w:val="en-GB"/>
        </w:rPr>
        <w:t xml:space="preserve">gion </w:t>
      </w:r>
      <w:r>
        <w:rPr>
          <w:rFonts w:ascii="Arial" w:hAnsi="Arial" w:cs="Arial"/>
          <w:bCs/>
          <w:sz w:val="20"/>
          <w:szCs w:val="20"/>
          <w:lang w:val="en-GB"/>
        </w:rPr>
        <w:t>containing</w:t>
      </w:r>
      <w:r w:rsidR="004C4379">
        <w:rPr>
          <w:rFonts w:ascii="Arial" w:hAnsi="Arial" w:cs="Arial"/>
          <w:bCs/>
          <w:sz w:val="20"/>
          <w:szCs w:val="20"/>
          <w:lang w:val="en-GB"/>
        </w:rPr>
        <w:t xml:space="preserve"> </w:t>
      </w:r>
      <w:r w:rsidR="00A05B89" w:rsidRPr="000139BB">
        <w:rPr>
          <w:rFonts w:ascii="Arial" w:hAnsi="Arial" w:cs="Arial"/>
          <w:bCs/>
          <w:sz w:val="20"/>
          <w:szCs w:val="20"/>
          <w:lang w:val="en-GB"/>
        </w:rPr>
        <w:t>19</w:t>
      </w:r>
      <w:r w:rsidR="0058685A">
        <w:rPr>
          <w:rFonts w:ascii="Arial" w:hAnsi="Arial" w:cs="Arial"/>
          <w:bCs/>
          <w:sz w:val="20"/>
          <w:szCs w:val="20"/>
          <w:lang w:val="en-GB"/>
        </w:rPr>
        <w:t>.</w:t>
      </w:r>
      <w:r w:rsidR="00A05B89" w:rsidRPr="000139BB">
        <w:rPr>
          <w:rFonts w:ascii="Arial" w:hAnsi="Arial" w:cs="Arial"/>
          <w:bCs/>
          <w:sz w:val="20"/>
          <w:szCs w:val="20"/>
          <w:lang w:val="en-GB"/>
        </w:rPr>
        <w:t xml:space="preserve">7% </w:t>
      </w:r>
      <w:r w:rsidR="004C4379">
        <w:rPr>
          <w:rFonts w:ascii="Arial" w:hAnsi="Arial" w:cs="Arial"/>
          <w:bCs/>
          <w:sz w:val="20"/>
          <w:szCs w:val="20"/>
          <w:lang w:val="en-GB"/>
        </w:rPr>
        <w:t>of all inso</w:t>
      </w:r>
      <w:r w:rsidR="0058685A">
        <w:rPr>
          <w:rFonts w:ascii="Arial" w:hAnsi="Arial" w:cs="Arial"/>
          <w:bCs/>
          <w:sz w:val="20"/>
          <w:szCs w:val="20"/>
          <w:lang w:val="en-GB"/>
        </w:rPr>
        <w:t>lvencies</w:t>
      </w:r>
      <w:r w:rsidR="00A05B89" w:rsidRPr="000139BB">
        <w:rPr>
          <w:rFonts w:ascii="Arial" w:hAnsi="Arial" w:cs="Arial"/>
          <w:bCs/>
          <w:sz w:val="20"/>
          <w:szCs w:val="20"/>
          <w:lang w:val="en-GB"/>
        </w:rPr>
        <w:t xml:space="preserve"> </w:t>
      </w:r>
      <w:r w:rsidR="004C4379">
        <w:rPr>
          <w:rFonts w:ascii="Arial" w:hAnsi="Arial" w:cs="Arial"/>
          <w:bCs/>
          <w:sz w:val="20"/>
          <w:szCs w:val="20"/>
          <w:lang w:val="en-GB"/>
        </w:rPr>
        <w:t>i</w:t>
      </w:r>
      <w:r w:rsidR="00A05B89" w:rsidRPr="000139BB">
        <w:rPr>
          <w:rFonts w:ascii="Arial" w:hAnsi="Arial" w:cs="Arial"/>
          <w:bCs/>
          <w:sz w:val="20"/>
          <w:szCs w:val="20"/>
          <w:lang w:val="en-GB"/>
        </w:rPr>
        <w:t xml:space="preserve">n France. </w:t>
      </w:r>
      <w:r w:rsidR="004C4379">
        <w:rPr>
          <w:rFonts w:ascii="Arial" w:hAnsi="Arial" w:cs="Arial"/>
          <w:bCs/>
          <w:sz w:val="20"/>
          <w:szCs w:val="20"/>
          <w:lang w:val="en-GB"/>
        </w:rPr>
        <w:t xml:space="preserve">In these two cases, the </w:t>
      </w:r>
      <w:r w:rsidR="004C4379" w:rsidRPr="000139BB">
        <w:rPr>
          <w:rFonts w:ascii="Arial" w:hAnsi="Arial" w:cs="Arial"/>
          <w:bCs/>
          <w:sz w:val="20"/>
          <w:szCs w:val="20"/>
          <w:lang w:val="en-GB"/>
        </w:rPr>
        <w:t xml:space="preserve">construction </w:t>
      </w:r>
      <w:r w:rsidR="004C4379">
        <w:rPr>
          <w:rFonts w:ascii="Arial" w:hAnsi="Arial" w:cs="Arial"/>
          <w:bCs/>
          <w:sz w:val="20"/>
          <w:szCs w:val="20"/>
          <w:lang w:val="en-GB"/>
        </w:rPr>
        <w:t xml:space="preserve">sector </w:t>
      </w:r>
      <w:r w:rsidR="00F5331B">
        <w:rPr>
          <w:rFonts w:ascii="Arial" w:hAnsi="Arial" w:cs="Arial"/>
          <w:bCs/>
          <w:sz w:val="20"/>
          <w:szCs w:val="20"/>
          <w:lang w:val="en-GB"/>
        </w:rPr>
        <w:t>was hardest hit</w:t>
      </w:r>
      <w:r w:rsidR="004C4379">
        <w:rPr>
          <w:rFonts w:ascii="Arial" w:hAnsi="Arial" w:cs="Arial"/>
          <w:bCs/>
          <w:sz w:val="20"/>
          <w:szCs w:val="20"/>
          <w:lang w:val="en-GB"/>
        </w:rPr>
        <w:t xml:space="preserve">, in particular builders of private houses in the Ile de France </w:t>
      </w:r>
      <w:r w:rsidR="00F5331B">
        <w:rPr>
          <w:rFonts w:ascii="Arial" w:hAnsi="Arial" w:cs="Arial"/>
          <w:bCs/>
          <w:sz w:val="20"/>
          <w:szCs w:val="20"/>
          <w:lang w:val="en-GB"/>
        </w:rPr>
        <w:t xml:space="preserve">region who experienced a </w:t>
      </w:r>
      <w:r w:rsidR="00A05B89" w:rsidRPr="000139BB">
        <w:rPr>
          <w:rFonts w:ascii="Arial" w:hAnsi="Arial" w:cs="Arial"/>
          <w:bCs/>
          <w:sz w:val="20"/>
          <w:szCs w:val="20"/>
          <w:lang w:val="en-GB"/>
        </w:rPr>
        <w:t>+10</w:t>
      </w:r>
      <w:r w:rsidR="00F5331B">
        <w:rPr>
          <w:rFonts w:ascii="Arial" w:hAnsi="Arial" w:cs="Arial"/>
          <w:bCs/>
          <w:sz w:val="20"/>
          <w:szCs w:val="20"/>
          <w:lang w:val="en-GB"/>
        </w:rPr>
        <w:t>.</w:t>
      </w:r>
      <w:r w:rsidR="00A05B89" w:rsidRPr="000139BB">
        <w:rPr>
          <w:rFonts w:ascii="Arial" w:hAnsi="Arial" w:cs="Arial"/>
          <w:bCs/>
          <w:sz w:val="20"/>
          <w:szCs w:val="20"/>
          <w:lang w:val="en-GB"/>
        </w:rPr>
        <w:t>3%</w:t>
      </w:r>
      <w:r w:rsidR="00F5331B" w:rsidRPr="00F5331B">
        <w:rPr>
          <w:rFonts w:ascii="Arial" w:hAnsi="Arial" w:cs="Arial"/>
          <w:bCs/>
          <w:sz w:val="20"/>
          <w:szCs w:val="20"/>
          <w:lang w:val="en-GB"/>
        </w:rPr>
        <w:t xml:space="preserve"> </w:t>
      </w:r>
      <w:r w:rsidR="00F5331B">
        <w:rPr>
          <w:rFonts w:ascii="Arial" w:hAnsi="Arial" w:cs="Arial"/>
          <w:bCs/>
          <w:sz w:val="20"/>
          <w:szCs w:val="20"/>
          <w:lang w:val="en-GB"/>
        </w:rPr>
        <w:t>increase in insolvencies.</w:t>
      </w:r>
    </w:p>
    <w:p w:rsidR="00306305" w:rsidRDefault="00306305" w:rsidP="00155CA9">
      <w:pPr>
        <w:pStyle w:val="Footer"/>
        <w:spacing w:line="200" w:lineRule="exact"/>
        <w:rPr>
          <w:rFonts w:ascii="Arial" w:hAnsi="Arial" w:cs="Arial"/>
          <w:b/>
          <w:sz w:val="18"/>
          <w:szCs w:val="18"/>
          <w:lang w:val="en-GB"/>
        </w:rPr>
      </w:pPr>
    </w:p>
    <w:p w:rsidR="00C336BF" w:rsidRPr="000139BB" w:rsidRDefault="00C336BF" w:rsidP="00155CA9">
      <w:pPr>
        <w:pStyle w:val="Footer"/>
        <w:spacing w:line="200" w:lineRule="exact"/>
        <w:rPr>
          <w:rFonts w:ascii="Arial" w:hAnsi="Arial" w:cs="Arial"/>
          <w:b/>
          <w:sz w:val="18"/>
          <w:szCs w:val="18"/>
          <w:lang w:val="en-GB"/>
        </w:rPr>
      </w:pPr>
    </w:p>
    <w:p w:rsidR="00110E79" w:rsidRPr="000139BB" w:rsidRDefault="00110E79" w:rsidP="00110E79">
      <w:pPr>
        <w:pStyle w:val="Footer"/>
        <w:spacing w:line="200" w:lineRule="exact"/>
        <w:rPr>
          <w:rFonts w:ascii="Arial" w:hAnsi="Arial" w:cs="Arial"/>
          <w:sz w:val="18"/>
          <w:szCs w:val="18"/>
          <w:lang w:val="en-GB"/>
        </w:rPr>
      </w:pPr>
      <w:r w:rsidRPr="000139BB">
        <w:rPr>
          <w:rFonts w:ascii="Arial" w:hAnsi="Arial" w:cs="Arial"/>
          <w:b/>
          <w:sz w:val="18"/>
          <w:szCs w:val="18"/>
          <w:lang w:val="en-GB"/>
        </w:rPr>
        <w:t>CONTACTS MEDIA</w:t>
      </w:r>
      <w:r w:rsidRPr="000139BB">
        <w:rPr>
          <w:rFonts w:ascii="Arial" w:hAnsi="Arial" w:cs="Arial"/>
          <w:sz w:val="18"/>
          <w:szCs w:val="18"/>
          <w:lang w:val="en-GB"/>
        </w:rPr>
        <w:t xml:space="preserve">: </w:t>
      </w:r>
    </w:p>
    <w:p w:rsidR="006B484A" w:rsidRPr="00613170" w:rsidRDefault="006B484A" w:rsidP="006B484A">
      <w:pPr>
        <w:pStyle w:val="Footer"/>
        <w:spacing w:line="200" w:lineRule="exact"/>
        <w:jc w:val="both"/>
        <w:rPr>
          <w:rStyle w:val="Emphasis"/>
          <w:rFonts w:ascii="Arial" w:hAnsi="Arial" w:cs="Arial"/>
          <w:b/>
          <w:bCs/>
          <w:i w:val="0"/>
          <w:iCs/>
          <w:color w:val="000000"/>
          <w:lang w:val="en-US" w:eastAsia="zh-TW"/>
        </w:rPr>
      </w:pPr>
      <w:r w:rsidRPr="00613170">
        <w:rPr>
          <w:rFonts w:ascii="Arial" w:eastAsia="Times New Roman" w:hAnsi="Arial" w:cs="Arial"/>
          <w:sz w:val="18"/>
          <w:szCs w:val="18"/>
          <w:u w:val="single"/>
          <w:lang w:val="en-US"/>
        </w:rPr>
        <w:t xml:space="preserve">Emilia MUSCALU - T. +40/21/231 60 20 - </w:t>
      </w:r>
      <w:hyperlink r:id="rId11" w:history="1">
        <w:r w:rsidRPr="00613170">
          <w:rPr>
            <w:rStyle w:val="Hyperlink"/>
            <w:rFonts w:ascii="Arial" w:eastAsia="Times New Roman" w:hAnsi="Arial" w:cs="Arial"/>
            <w:sz w:val="18"/>
            <w:szCs w:val="18"/>
            <w:lang w:val="en-US"/>
          </w:rPr>
          <w:t>emilia.muscalu@coface.com</w:t>
        </w:r>
      </w:hyperlink>
    </w:p>
    <w:p w:rsidR="006B484A" w:rsidRPr="00613170" w:rsidRDefault="006B484A" w:rsidP="006B484A">
      <w:pPr>
        <w:pStyle w:val="Footer"/>
        <w:spacing w:line="200" w:lineRule="exact"/>
        <w:rPr>
          <w:b/>
          <w:color w:val="002060"/>
          <w:sz w:val="28"/>
          <w:szCs w:val="28"/>
          <w:lang w:val="en-US"/>
        </w:rPr>
      </w:pPr>
    </w:p>
    <w:tbl>
      <w:tblPr>
        <w:tblW w:w="8535" w:type="dxa"/>
        <w:jc w:val="center"/>
        <w:tblLayout w:type="fixed"/>
        <w:tblCellMar>
          <w:left w:w="0" w:type="dxa"/>
          <w:right w:w="0" w:type="dxa"/>
        </w:tblCellMar>
        <w:tblLook w:val="00A0" w:firstRow="1" w:lastRow="0" w:firstColumn="1" w:lastColumn="0" w:noHBand="0" w:noVBand="0"/>
      </w:tblPr>
      <w:tblGrid>
        <w:gridCol w:w="8535"/>
      </w:tblGrid>
      <w:tr w:rsidR="006B484A" w:rsidRPr="00613170" w:rsidTr="004E00F8">
        <w:trPr>
          <w:trHeight w:val="220"/>
          <w:jc w:val="center"/>
        </w:trPr>
        <w:tc>
          <w:tcPr>
            <w:tcW w:w="8540" w:type="dxa"/>
            <w:shd w:val="clear" w:color="auto" w:fill="E9EDF4"/>
          </w:tcPr>
          <w:p w:rsidR="006B484A" w:rsidRPr="00613170" w:rsidRDefault="006B484A" w:rsidP="004E00F8">
            <w:pPr>
              <w:pStyle w:val="Footer"/>
              <w:spacing w:line="200" w:lineRule="exact"/>
              <w:ind w:left="101"/>
              <w:jc w:val="both"/>
              <w:rPr>
                <w:rFonts w:ascii="Arial" w:hAnsi="Arial" w:cs="Arial"/>
                <w:sz w:val="18"/>
                <w:szCs w:val="18"/>
                <w:lang w:val="en-US"/>
              </w:rPr>
            </w:pPr>
            <w:r w:rsidRPr="00613170">
              <w:rPr>
                <w:rFonts w:ascii="Arial" w:hAnsi="Arial" w:cs="Arial"/>
                <w:b/>
                <w:sz w:val="18"/>
                <w:szCs w:val="18"/>
                <w:lang w:val="en-US"/>
              </w:rPr>
              <w:t xml:space="preserve">About </w:t>
            </w:r>
            <w:proofErr w:type="spellStart"/>
            <w:r w:rsidRPr="00613170">
              <w:rPr>
                <w:rFonts w:ascii="Arial" w:hAnsi="Arial" w:cs="Arial"/>
                <w:b/>
                <w:sz w:val="18"/>
                <w:szCs w:val="18"/>
                <w:lang w:val="en-US"/>
              </w:rPr>
              <w:t>Coface</w:t>
            </w:r>
            <w:proofErr w:type="spellEnd"/>
          </w:p>
          <w:p w:rsidR="006B484A" w:rsidRPr="00613170" w:rsidRDefault="006B484A" w:rsidP="004E00F8">
            <w:pPr>
              <w:pStyle w:val="Footer"/>
              <w:spacing w:line="200" w:lineRule="exact"/>
              <w:ind w:left="101"/>
              <w:jc w:val="both"/>
              <w:rPr>
                <w:rFonts w:ascii="Arial" w:hAnsi="Arial" w:cs="Arial"/>
                <w:sz w:val="18"/>
                <w:szCs w:val="18"/>
                <w:lang w:val="en-US"/>
              </w:rPr>
            </w:pPr>
          </w:p>
          <w:p w:rsidR="006B484A" w:rsidRPr="00613170" w:rsidRDefault="006B484A" w:rsidP="004E00F8">
            <w:pPr>
              <w:spacing w:line="240" w:lineRule="atLeast"/>
              <w:ind w:left="142" w:right="141"/>
              <w:jc w:val="both"/>
              <w:rPr>
                <w:rFonts w:ascii="Arial" w:hAnsi="Arial" w:cs="Arial"/>
                <w:sz w:val="18"/>
                <w:szCs w:val="18"/>
                <w:lang w:val="en-US"/>
              </w:rPr>
            </w:pPr>
            <w:r w:rsidRPr="00613170">
              <w:rPr>
                <w:rFonts w:ascii="Arial" w:hAnsi="Arial" w:cs="Arial"/>
                <w:sz w:val="18"/>
                <w:szCs w:val="18"/>
                <w:lang w:val="en-US"/>
              </w:rPr>
              <w:t xml:space="preserve">The </w:t>
            </w:r>
            <w:proofErr w:type="spellStart"/>
            <w:r w:rsidRPr="00613170">
              <w:rPr>
                <w:rFonts w:ascii="Arial" w:hAnsi="Arial" w:cs="Arial"/>
                <w:sz w:val="18"/>
                <w:szCs w:val="18"/>
                <w:lang w:val="en-US"/>
              </w:rPr>
              <w:t>Coface</w:t>
            </w:r>
            <w:proofErr w:type="spellEnd"/>
            <w:r w:rsidRPr="00613170">
              <w:rPr>
                <w:rFonts w:ascii="Arial" w:hAnsi="Arial" w:cs="Arial"/>
                <w:sz w:val="18"/>
                <w:szCs w:val="18"/>
                <w:lang w:val="en-US"/>
              </w:rPr>
              <w:t xml:space="preserve"> Group, a worldwide leader in credit insurance, offers companies around the globe solutions to protect them against the risk of financial default of their clients, both on the domestic market and for export. In 2014, the Group, supported by its 4,406 staff, posted a consolidated turnover of €1.441 billion. Present directly or indirectly in 98 countries, it secures transactions of 40,000 companies in more than 200 countries. Each quarter, </w:t>
            </w:r>
            <w:proofErr w:type="spellStart"/>
            <w:r w:rsidRPr="00613170">
              <w:rPr>
                <w:rFonts w:ascii="Arial" w:hAnsi="Arial" w:cs="Arial"/>
                <w:sz w:val="18"/>
                <w:szCs w:val="18"/>
                <w:lang w:val="en-US"/>
              </w:rPr>
              <w:t>Coface</w:t>
            </w:r>
            <w:proofErr w:type="spellEnd"/>
            <w:r w:rsidRPr="00613170">
              <w:rPr>
                <w:rFonts w:ascii="Arial" w:hAnsi="Arial" w:cs="Arial"/>
                <w:sz w:val="18"/>
                <w:szCs w:val="18"/>
                <w:lang w:val="en-US"/>
              </w:rPr>
              <w:t xml:space="preserve"> publishes its assessments of country risk for 160 countries, based on its unique knowledge of companies’ payment </w:t>
            </w:r>
            <w:proofErr w:type="spellStart"/>
            <w:r w:rsidRPr="00613170">
              <w:rPr>
                <w:rFonts w:ascii="Arial" w:hAnsi="Arial" w:cs="Arial"/>
                <w:sz w:val="18"/>
                <w:szCs w:val="18"/>
                <w:lang w:val="en-US"/>
              </w:rPr>
              <w:t>behaviour</w:t>
            </w:r>
            <w:proofErr w:type="spellEnd"/>
            <w:r w:rsidRPr="00613170">
              <w:rPr>
                <w:rFonts w:ascii="Arial" w:hAnsi="Arial" w:cs="Arial"/>
                <w:sz w:val="18"/>
                <w:szCs w:val="18"/>
                <w:lang w:val="en-US"/>
              </w:rPr>
              <w:t xml:space="preserve"> and on the expertise of its 350 underwriters located close to clients and their debtors.</w:t>
            </w:r>
          </w:p>
          <w:p w:rsidR="006B484A" w:rsidRPr="00613170" w:rsidRDefault="006B484A" w:rsidP="004E00F8">
            <w:pPr>
              <w:spacing w:line="240" w:lineRule="atLeast"/>
              <w:ind w:left="142" w:right="141"/>
              <w:jc w:val="both"/>
              <w:rPr>
                <w:rFonts w:ascii="Arial" w:hAnsi="Arial" w:cs="Arial"/>
                <w:sz w:val="18"/>
                <w:szCs w:val="21"/>
                <w:lang w:val="en-US"/>
              </w:rPr>
            </w:pPr>
            <w:r w:rsidRPr="00613170">
              <w:rPr>
                <w:rFonts w:ascii="Arial" w:hAnsi="Arial" w:cs="Arial"/>
                <w:sz w:val="18"/>
                <w:szCs w:val="21"/>
                <w:lang w:val="en-US"/>
              </w:rPr>
              <w:t xml:space="preserve">In France, </w:t>
            </w:r>
            <w:proofErr w:type="spellStart"/>
            <w:r w:rsidRPr="00613170">
              <w:rPr>
                <w:rFonts w:ascii="Arial" w:hAnsi="Arial" w:cs="Arial"/>
                <w:sz w:val="18"/>
                <w:szCs w:val="21"/>
                <w:lang w:val="en-US"/>
              </w:rPr>
              <w:t>Coface</w:t>
            </w:r>
            <w:proofErr w:type="spellEnd"/>
            <w:r w:rsidRPr="00613170">
              <w:rPr>
                <w:rFonts w:ascii="Arial" w:hAnsi="Arial" w:cs="Arial"/>
                <w:sz w:val="18"/>
                <w:szCs w:val="21"/>
                <w:lang w:val="en-US"/>
              </w:rPr>
              <w:t xml:space="preserve"> manages export public guarantees on behalf of the French State.</w:t>
            </w:r>
          </w:p>
          <w:p w:rsidR="006B484A" w:rsidRPr="00613170" w:rsidRDefault="00CD7871" w:rsidP="004E00F8">
            <w:pPr>
              <w:spacing w:before="60" w:after="60" w:line="240" w:lineRule="atLeast"/>
              <w:ind w:right="113"/>
              <w:jc w:val="center"/>
              <w:rPr>
                <w:rFonts w:ascii="Arial" w:hAnsi="Arial" w:cs="Arial"/>
                <w:color w:val="0000FF"/>
                <w:sz w:val="18"/>
                <w:szCs w:val="18"/>
                <w:u w:val="single"/>
                <w:lang w:val="en-US"/>
              </w:rPr>
            </w:pPr>
            <w:hyperlink r:id="rId12" w:history="1">
              <w:r w:rsidR="006B484A" w:rsidRPr="00613170">
                <w:rPr>
                  <w:rStyle w:val="Hyperlink"/>
                  <w:rFonts w:ascii="Arial" w:hAnsi="Arial" w:cs="Arial"/>
                  <w:sz w:val="18"/>
                  <w:szCs w:val="18"/>
                  <w:lang w:val="en-US"/>
                </w:rPr>
                <w:t>www.coface.com</w:t>
              </w:r>
            </w:hyperlink>
          </w:p>
          <w:p w:rsidR="006B484A" w:rsidRPr="00613170" w:rsidRDefault="006B484A" w:rsidP="004E00F8">
            <w:pPr>
              <w:spacing w:before="60" w:after="60" w:line="240" w:lineRule="atLeast"/>
              <w:ind w:right="113"/>
              <w:jc w:val="center"/>
              <w:rPr>
                <w:rFonts w:ascii="Arial" w:hAnsi="Arial" w:cs="Arial"/>
                <w:color w:val="0000FF"/>
                <w:sz w:val="18"/>
                <w:szCs w:val="18"/>
                <w:u w:val="single"/>
                <w:lang w:val="en-US"/>
              </w:rPr>
            </w:pPr>
            <w:r w:rsidRPr="00613170">
              <w:rPr>
                <w:noProof/>
                <w:lang w:val="ro-RO" w:eastAsia="ro-RO"/>
              </w:rPr>
              <w:drawing>
                <wp:anchor distT="0" distB="0" distL="114300" distR="114300" simplePos="0" relativeHeight="251668480" behindDoc="0" locked="0" layoutInCell="1" allowOverlap="1" wp14:anchorId="6D010EF8" wp14:editId="5CA831E9">
                  <wp:simplePos x="0" y="0"/>
                  <wp:positionH relativeFrom="column">
                    <wp:posOffset>4621530</wp:posOffset>
                  </wp:positionH>
                  <wp:positionV relativeFrom="paragraph">
                    <wp:posOffset>9525</wp:posOffset>
                  </wp:positionV>
                  <wp:extent cx="519430" cy="514350"/>
                  <wp:effectExtent l="0" t="0" r="0" b="0"/>
                  <wp:wrapNone/>
                  <wp:docPr id="3" name="Imag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FA-listed-emblems_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p>
          <w:p w:rsidR="006B484A" w:rsidRPr="00613170" w:rsidRDefault="006B484A" w:rsidP="004E00F8">
            <w:pPr>
              <w:tabs>
                <w:tab w:val="left" w:pos="8202"/>
              </w:tabs>
              <w:autoSpaceDE w:val="0"/>
              <w:autoSpaceDN w:val="0"/>
              <w:adjustRightInd w:val="0"/>
              <w:spacing w:line="240" w:lineRule="atLeast"/>
              <w:ind w:left="348" w:right="1587"/>
              <w:jc w:val="right"/>
              <w:rPr>
                <w:rFonts w:ascii="Arial" w:hAnsi="Arial" w:cs="Arial"/>
                <w:sz w:val="18"/>
                <w:szCs w:val="18"/>
                <w:lang w:val="en-US"/>
              </w:rPr>
            </w:pPr>
            <w:proofErr w:type="spellStart"/>
            <w:r w:rsidRPr="00613170">
              <w:rPr>
                <w:rFonts w:ascii="Arial" w:hAnsi="Arial" w:cs="Arial"/>
                <w:sz w:val="18"/>
                <w:szCs w:val="18"/>
                <w:lang w:val="en-US"/>
              </w:rPr>
              <w:t>Coface</w:t>
            </w:r>
            <w:proofErr w:type="spellEnd"/>
            <w:r w:rsidRPr="00613170">
              <w:rPr>
                <w:rFonts w:ascii="Arial" w:hAnsi="Arial" w:cs="Arial"/>
                <w:sz w:val="18"/>
                <w:szCs w:val="18"/>
                <w:lang w:val="en-US"/>
              </w:rPr>
              <w:t xml:space="preserve"> SA. is listed on Euronext Paris – Compartment A</w:t>
            </w:r>
          </w:p>
          <w:p w:rsidR="006B484A" w:rsidRPr="00613170" w:rsidRDefault="006B484A" w:rsidP="00CD7871">
            <w:pPr>
              <w:tabs>
                <w:tab w:val="left" w:pos="8202"/>
              </w:tabs>
              <w:autoSpaceDE w:val="0"/>
              <w:autoSpaceDN w:val="0"/>
              <w:adjustRightInd w:val="0"/>
              <w:spacing w:line="240" w:lineRule="atLeast"/>
              <w:ind w:left="348" w:right="1587"/>
              <w:jc w:val="right"/>
              <w:rPr>
                <w:rFonts w:ascii="Arial" w:hAnsi="Arial" w:cs="Arial"/>
                <w:sz w:val="18"/>
                <w:szCs w:val="18"/>
                <w:lang w:val="en-US"/>
              </w:rPr>
            </w:pPr>
            <w:r w:rsidRPr="00613170">
              <w:rPr>
                <w:rFonts w:ascii="Arial" w:hAnsi="Arial" w:cs="Arial"/>
                <w:sz w:val="18"/>
                <w:szCs w:val="18"/>
                <w:lang w:val="en-US"/>
              </w:rPr>
              <w:t>I</w:t>
            </w:r>
            <w:r w:rsidR="00CD7871">
              <w:rPr>
                <w:rFonts w:ascii="Arial" w:hAnsi="Arial" w:cs="Arial"/>
                <w:sz w:val="18"/>
                <w:szCs w:val="18"/>
                <w:lang w:val="en-US"/>
              </w:rPr>
              <w:t>SIN: FR0010667147 / Ticker: COFA</w:t>
            </w:r>
          </w:p>
        </w:tc>
      </w:tr>
    </w:tbl>
    <w:p w:rsidR="00155CA9" w:rsidRPr="000139BB" w:rsidRDefault="00155CA9" w:rsidP="00CD7871">
      <w:pPr>
        <w:pStyle w:val="Body1"/>
        <w:spacing w:line="270" w:lineRule="exact"/>
        <w:jc w:val="both"/>
        <w:rPr>
          <w:rFonts w:ascii="Arial" w:hAnsi="Arial"/>
          <w:lang w:val="en-GB"/>
        </w:rPr>
      </w:pPr>
    </w:p>
    <w:sectPr w:rsidR="00155CA9" w:rsidRPr="000139BB" w:rsidSect="006E5807">
      <w:headerReference w:type="default" r:id="rId14"/>
      <w:headerReference w:type="first" r:id="rId15"/>
      <w:footerReference w:type="first" r:id="rId16"/>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DC" w:rsidRDefault="008E51DC" w:rsidP="00D67F85">
      <w:r>
        <w:separator/>
      </w:r>
    </w:p>
  </w:endnote>
  <w:endnote w:type="continuationSeparator" w:id="0">
    <w:p w:rsidR="008E51DC" w:rsidRDefault="008E51DC"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D" w:rsidRPr="000F6882" w:rsidRDefault="00D4537D" w:rsidP="00422B4C">
    <w:pPr>
      <w:pStyle w:val="Footer"/>
      <w:spacing w:line="180" w:lineRule="exact"/>
      <w:rPr>
        <w:color w:val="17274B"/>
        <w:sz w:val="14"/>
        <w:szCs w:val="14"/>
      </w:rPr>
    </w:pPr>
    <w:r>
      <w:rPr>
        <w:color w:val="17274B"/>
        <w:sz w:val="14"/>
        <w:szCs w:val="14"/>
      </w:rPr>
      <w:fldChar w:fldCharType="begin"/>
    </w:r>
    <w:r>
      <w:rPr>
        <w:color w:val="17274B"/>
        <w:sz w:val="14"/>
        <w:szCs w:val="14"/>
      </w:rPr>
      <w:instrText xml:space="preserve"> MACROBUTTON Remplir POSTAL ADDRESS </w:instrText>
    </w:r>
    <w:r>
      <w:rPr>
        <w:color w:val="17274B"/>
        <w:sz w:val="14"/>
        <w:szCs w:val="14"/>
      </w:rPr>
      <w:fldChar w:fldCharType="end"/>
    </w:r>
  </w:p>
  <w:p w:rsidR="00D4537D" w:rsidRPr="000F6882" w:rsidRDefault="00D4537D" w:rsidP="00422B4C">
    <w:pPr>
      <w:pStyle w:val="Footer"/>
      <w:spacing w:line="180" w:lineRule="exact"/>
      <w:rPr>
        <w:color w:val="17274B"/>
        <w:sz w:val="14"/>
        <w:szCs w:val="14"/>
      </w:rPr>
    </w:pPr>
    <w:r w:rsidRPr="000F6882">
      <w:rPr>
        <w:color w:val="17274B"/>
        <w:sz w:val="14"/>
        <w:szCs w:val="14"/>
      </w:rPr>
      <w:t xml:space="preserve">12 COURS MICHELET - </w:t>
    </w:r>
    <w:smartTag w:uri="urn:schemas-microsoft-com:office:smarttags" w:element="PersonName">
      <w:smartTagPr>
        <w:attr w:name="ProductID" w:val="LA DÉFENSE"/>
      </w:smartTagPr>
      <w:r w:rsidRPr="000F6882">
        <w:rPr>
          <w:color w:val="17274B"/>
          <w:sz w:val="14"/>
          <w:szCs w:val="14"/>
        </w:rPr>
        <w:t>LA DÉFENSE</w:t>
      </w:r>
    </w:smartTag>
    <w:r w:rsidRPr="000F6882">
      <w:rPr>
        <w:color w:val="17274B"/>
        <w:sz w:val="14"/>
        <w:szCs w:val="14"/>
      </w:rPr>
      <w:t xml:space="preserve"> 10 - </w:t>
    </w:r>
    <w:smartTag w:uri="urn:schemas-microsoft-com:office:smarttags" w:element="phone">
      <w:smartTagPr>
        <w:attr w:name="ls" w:val="trans"/>
      </w:smartTagPr>
      <w:r w:rsidRPr="000F6882">
        <w:rPr>
          <w:color w:val="17274B"/>
          <w:sz w:val="14"/>
          <w:szCs w:val="14"/>
        </w:rPr>
        <w:t>92800</w:t>
      </w:r>
    </w:smartTag>
    <w:r w:rsidRPr="000F6882">
      <w:rPr>
        <w:color w:val="17274B"/>
        <w:sz w:val="14"/>
        <w:szCs w:val="14"/>
      </w:rPr>
      <w:t xml:space="preserve"> PUTEAUX - FRANCE</w:t>
    </w:r>
  </w:p>
  <w:p w:rsidR="00D4537D" w:rsidRPr="000F6882" w:rsidRDefault="00D4537D" w:rsidP="00422B4C">
    <w:pPr>
      <w:pStyle w:val="Footer"/>
      <w:spacing w:line="180" w:lineRule="exact"/>
      <w:rPr>
        <w:color w:val="17274B"/>
        <w:sz w:val="14"/>
        <w:szCs w:val="14"/>
      </w:rPr>
    </w:pPr>
    <w:r w:rsidRPr="000F6882">
      <w:rPr>
        <w:color w:val="17274B"/>
        <w:sz w:val="14"/>
        <w:szCs w:val="14"/>
      </w:rPr>
      <w:t xml:space="preserve">T. </w:t>
    </w:r>
    <w:r>
      <w:rPr>
        <w:color w:val="17274B"/>
        <w:sz w:val="14"/>
        <w:szCs w:val="14"/>
      </w:rPr>
      <w:fldChar w:fldCharType="begin"/>
    </w:r>
    <w:r>
      <w:rPr>
        <w:color w:val="17274B"/>
        <w:sz w:val="14"/>
        <w:szCs w:val="14"/>
      </w:rPr>
      <w:instrText xml:space="preserve"> MACROBUTTON Remplir +33 (0)1 00 00 00 00  </w:instrText>
    </w:r>
    <w:r>
      <w:rPr>
        <w:color w:val="17274B"/>
        <w:sz w:val="14"/>
        <w:szCs w:val="14"/>
      </w:rPr>
      <w:fldChar w:fldCharType="end"/>
    </w:r>
    <w:r w:rsidRPr="000F6882">
      <w:rPr>
        <w:color w:val="17274B"/>
        <w:sz w:val="14"/>
        <w:szCs w:val="14"/>
      </w:rPr>
      <w:t xml:space="preserve">- M. </w:t>
    </w:r>
    <w:r>
      <w:rPr>
        <w:color w:val="17274B"/>
        <w:sz w:val="14"/>
        <w:szCs w:val="14"/>
      </w:rPr>
      <w:fldChar w:fldCharType="begin"/>
    </w:r>
    <w:r>
      <w:rPr>
        <w:color w:val="17274B"/>
        <w:sz w:val="14"/>
        <w:szCs w:val="14"/>
      </w:rPr>
      <w:instrText xml:space="preserve"> MACROBUTTON Remplir +33 (0)6 00 00 00 00 </w:instrText>
    </w:r>
    <w:r>
      <w:rPr>
        <w:color w:val="17274B"/>
        <w:sz w:val="14"/>
        <w:szCs w:val="14"/>
      </w:rPr>
      <w:fldChar w:fldCharType="end"/>
    </w:r>
    <w:r w:rsidRPr="000F6882">
      <w:rPr>
        <w:color w:val="17274B"/>
        <w:sz w:val="14"/>
        <w:szCs w:val="14"/>
      </w:rPr>
      <w:t xml:space="preserve"> - F. </w:t>
    </w:r>
    <w:r>
      <w:rPr>
        <w:color w:val="17274B"/>
        <w:sz w:val="14"/>
        <w:szCs w:val="14"/>
      </w:rPr>
      <w:fldChar w:fldCharType="begin"/>
    </w:r>
    <w:r>
      <w:rPr>
        <w:color w:val="17274B"/>
        <w:sz w:val="14"/>
        <w:szCs w:val="14"/>
      </w:rPr>
      <w:instrText xml:space="preserve"> MACROBUTTON Remplir +33 (0)1 00 00 00 00 </w:instrText>
    </w:r>
    <w:r>
      <w:rPr>
        <w:color w:val="17274B"/>
        <w:sz w:val="14"/>
        <w:szCs w:val="14"/>
      </w:rPr>
      <w:fldChar w:fldCharType="end"/>
    </w:r>
  </w:p>
  <w:p w:rsidR="00D4537D" w:rsidRPr="000F6882" w:rsidRDefault="00D4537D" w:rsidP="00422B4C">
    <w:pPr>
      <w:pStyle w:val="Footer"/>
      <w:spacing w:line="180" w:lineRule="exact"/>
      <w:rPr>
        <w:color w:val="17274B"/>
        <w:sz w:val="14"/>
        <w:szCs w:val="14"/>
      </w:rPr>
    </w:pPr>
    <w:r w:rsidRPr="000F6882">
      <w:rPr>
        <w:color w:val="17274B"/>
        <w:sz w:val="14"/>
        <w:szCs w:val="14"/>
      </w:rPr>
      <w:t>www.coface.fr</w:t>
    </w:r>
  </w:p>
  <w:p w:rsidR="00D4537D" w:rsidRPr="000F6882" w:rsidRDefault="00D4537D" w:rsidP="00422B4C">
    <w:pPr>
      <w:pStyle w:val="Footer"/>
      <w:spacing w:line="180" w:lineRule="exact"/>
      <w:rPr>
        <w:color w:val="17274B"/>
        <w:sz w:val="12"/>
        <w:szCs w:val="12"/>
      </w:rPr>
    </w:pPr>
    <w:r w:rsidRPr="000F6882">
      <w:rPr>
        <w:color w:val="17274B"/>
        <w:sz w:val="12"/>
        <w:szCs w:val="12"/>
      </w:rPr>
      <w:t xml:space="preserve">COMPAGNIE FRANÇAISE D’ASSURANCE POUR LE COMMERCE EXTÉRIEUR </w:t>
    </w:r>
  </w:p>
  <w:p w:rsidR="00D4537D" w:rsidRPr="000F6882" w:rsidRDefault="00D4537D" w:rsidP="000F6882">
    <w:pPr>
      <w:pStyle w:val="Footer"/>
      <w:spacing w:line="180" w:lineRule="exact"/>
      <w:rPr>
        <w:color w:val="17274B"/>
        <w:sz w:val="12"/>
        <w:szCs w:val="12"/>
      </w:rPr>
    </w:pPr>
    <w:r w:rsidRPr="000F6882">
      <w:rPr>
        <w:color w:val="17274B"/>
        <w:sz w:val="12"/>
        <w:szCs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DC" w:rsidRDefault="008E51DC" w:rsidP="00D67F85">
      <w:r>
        <w:separator/>
      </w:r>
    </w:p>
  </w:footnote>
  <w:footnote w:type="continuationSeparator" w:id="0">
    <w:p w:rsidR="008E51DC" w:rsidRDefault="008E51DC" w:rsidP="00D67F85">
      <w:r>
        <w:continuationSeparator/>
      </w:r>
    </w:p>
  </w:footnote>
  <w:footnote w:id="1">
    <w:p w:rsidR="006B140C" w:rsidRPr="0058685A" w:rsidRDefault="006B140C">
      <w:pPr>
        <w:pStyle w:val="FootnoteText"/>
        <w:rPr>
          <w:rFonts w:ascii="Arial" w:hAnsi="Arial" w:cs="Arial"/>
          <w:sz w:val="16"/>
          <w:szCs w:val="16"/>
          <w:lang w:val="en-GB"/>
        </w:rPr>
      </w:pPr>
      <w:r w:rsidRPr="0058685A">
        <w:rPr>
          <w:rStyle w:val="FootnoteReference"/>
          <w:rFonts w:ascii="Arial" w:hAnsi="Arial" w:cs="Arial"/>
          <w:sz w:val="16"/>
          <w:szCs w:val="16"/>
          <w:lang w:val="en-GB"/>
        </w:rPr>
        <w:footnoteRef/>
      </w:r>
      <w:r w:rsidRPr="0058685A">
        <w:rPr>
          <w:rFonts w:ascii="Arial" w:hAnsi="Arial" w:cs="Arial"/>
          <w:sz w:val="16"/>
          <w:szCs w:val="16"/>
          <w:lang w:val="en-GB"/>
        </w:rPr>
        <w:t xml:space="preserve"> </w:t>
      </w:r>
      <w:r w:rsidR="0058685A">
        <w:rPr>
          <w:rFonts w:ascii="Arial" w:hAnsi="Arial" w:cs="Arial"/>
          <w:sz w:val="16"/>
          <w:szCs w:val="16"/>
          <w:lang w:val="en-GB"/>
        </w:rPr>
        <w:t xml:space="preserve">Compared with the same period in </w:t>
      </w:r>
      <w:r w:rsidRPr="0058685A">
        <w:rPr>
          <w:rFonts w:ascii="Arial" w:hAnsi="Arial" w:cs="Arial"/>
          <w:sz w:val="16"/>
          <w:szCs w:val="16"/>
          <w:lang w:val="en-GB"/>
        </w:rPr>
        <w:t>2014</w:t>
      </w:r>
    </w:p>
  </w:footnote>
  <w:footnote w:id="2">
    <w:p w:rsidR="007574AE" w:rsidRPr="0058685A" w:rsidRDefault="007574AE">
      <w:pPr>
        <w:pStyle w:val="FootnoteText"/>
        <w:rPr>
          <w:lang w:val="en-GB"/>
        </w:rPr>
      </w:pPr>
      <w:r w:rsidRPr="0058685A">
        <w:rPr>
          <w:rStyle w:val="FootnoteReference"/>
          <w:rFonts w:ascii="Arial" w:hAnsi="Arial" w:cs="Arial"/>
          <w:sz w:val="16"/>
          <w:szCs w:val="16"/>
          <w:lang w:val="en-GB"/>
        </w:rPr>
        <w:footnoteRef/>
      </w:r>
      <w:r w:rsidRPr="0058685A">
        <w:rPr>
          <w:rFonts w:ascii="Arial" w:hAnsi="Arial" w:cs="Arial"/>
          <w:sz w:val="16"/>
          <w:szCs w:val="16"/>
          <w:lang w:val="en-GB"/>
        </w:rPr>
        <w:t xml:space="preserve"> </w:t>
      </w:r>
      <w:r w:rsidR="0058685A">
        <w:rPr>
          <w:rFonts w:ascii="Arial" w:hAnsi="Arial" w:cs="Arial"/>
          <w:sz w:val="16"/>
          <w:szCs w:val="16"/>
          <w:lang w:val="en-GB"/>
        </w:rPr>
        <w:t>Compared with March</w:t>
      </w:r>
      <w:r w:rsidRPr="0058685A">
        <w:rPr>
          <w:rFonts w:ascii="Arial" w:hAnsi="Arial" w:cs="Arial"/>
          <w:sz w:val="16"/>
          <w:szCs w:val="16"/>
          <w:lang w:val="en-GB"/>
        </w:rPr>
        <w:t xml:space="preserve"> 2014</w:t>
      </w:r>
    </w:p>
  </w:footnote>
  <w:footnote w:id="3">
    <w:p w:rsidR="00C336BF" w:rsidRPr="0058685A" w:rsidRDefault="00C336BF" w:rsidP="00C336BF">
      <w:pPr>
        <w:pStyle w:val="FootnoteText"/>
        <w:rPr>
          <w:rFonts w:ascii="Arial" w:hAnsi="Arial" w:cs="Arial"/>
          <w:sz w:val="16"/>
          <w:szCs w:val="16"/>
          <w:lang w:val="en-GB"/>
        </w:rPr>
      </w:pPr>
      <w:r w:rsidRPr="0058685A">
        <w:rPr>
          <w:rStyle w:val="FootnoteReference"/>
          <w:rFonts w:ascii="Arial" w:hAnsi="Arial" w:cs="Arial"/>
          <w:sz w:val="16"/>
          <w:szCs w:val="16"/>
          <w:lang w:val="en-GB"/>
        </w:rPr>
        <w:footnoteRef/>
      </w:r>
      <w:r w:rsidRPr="0058685A">
        <w:rPr>
          <w:rFonts w:ascii="Arial" w:hAnsi="Arial" w:cs="Arial"/>
          <w:sz w:val="16"/>
          <w:szCs w:val="16"/>
          <w:lang w:val="en-GB"/>
        </w:rPr>
        <w:t xml:space="preserve"> </w:t>
      </w:r>
      <w:r>
        <w:rPr>
          <w:rFonts w:ascii="Arial" w:hAnsi="Arial" w:cs="Arial"/>
          <w:sz w:val="16"/>
          <w:szCs w:val="16"/>
          <w:lang w:val="en-GB"/>
        </w:rPr>
        <w:t>Excluding micro-enterprises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D" w:rsidRDefault="00C336BF">
    <w:pPr>
      <w:pStyle w:val="Header"/>
    </w:pPr>
    <w:r w:rsidRPr="00DC7D73">
      <w:rPr>
        <w:rFonts w:ascii="Times New Roman" w:eastAsia="Times New Roman" w:hAnsi="Times New Roman"/>
        <w:noProof/>
        <w:lang w:val="ro-RO" w:eastAsia="ro-RO"/>
      </w:rPr>
      <mc:AlternateContent>
        <mc:Choice Requires="wps">
          <w:drawing>
            <wp:anchor distT="0" distB="0" distL="114935" distR="114935" simplePos="0" relativeHeight="251660800" behindDoc="1" locked="0" layoutInCell="1" allowOverlap="1" wp14:anchorId="7DCA14F0" wp14:editId="4C922702">
              <wp:simplePos x="0" y="0"/>
              <wp:positionH relativeFrom="column">
                <wp:posOffset>-18410</wp:posOffset>
              </wp:positionH>
              <wp:positionV relativeFrom="page">
                <wp:posOffset>1560830</wp:posOffset>
              </wp:positionV>
              <wp:extent cx="5755005" cy="330200"/>
              <wp:effectExtent l="0" t="0" r="0" b="0"/>
              <wp:wrapNone/>
              <wp:docPr id="5"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6BF" w:rsidRDefault="00C336BF" w:rsidP="00C336BF">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1.45pt;margin-top:122.9pt;width:453.15pt;height: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BZjw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" stroked="f">
              <v:fill opacity="0"/>
              <v:textbox inset="0,0,0,0">
                <w:txbxContent>
                  <w:p w:rsidR="00C336BF" w:rsidRDefault="00C336BF" w:rsidP="00C336BF">
                    <w:pPr>
                      <w:spacing w:line="270" w:lineRule="exact"/>
                      <w:jc w:val="center"/>
                      <w:rPr>
                        <w:rFonts w:ascii="Arial" w:hAnsi="Arial" w:cs="Arial"/>
                        <w:b/>
                        <w:bCs/>
                        <w:color w:val="4FA76E"/>
                        <w:spacing w:val="518"/>
                        <w:sz w:val="26"/>
                        <w:szCs w:val="26"/>
                      </w:rPr>
                    </w:pPr>
                    <w:r>
                      <w:rPr>
                        <w:rFonts w:ascii="Arial" w:hAnsi="Arial" w:cs="Arial"/>
                        <w:b/>
                        <w:bCs/>
                        <w:color w:val="4FA76E"/>
                        <w:spacing w:val="518"/>
                        <w:sz w:val="26"/>
                        <w:szCs w:val="26"/>
                      </w:rPr>
                      <w:t>PRESS RELEASE</w:t>
                    </w:r>
                  </w:p>
                </w:txbxContent>
              </v:textbox>
              <w10:wrap anchory="page"/>
            </v:shape>
          </w:pict>
        </mc:Fallback>
      </mc:AlternateContent>
    </w:r>
    <w:r w:rsidR="00387047">
      <w:rPr>
        <w:noProof/>
        <w:lang w:val="ro-RO" w:eastAsia="ro-RO"/>
      </w:rPr>
      <w:drawing>
        <wp:anchor distT="0" distB="0" distL="114300" distR="114300" simplePos="0" relativeHeight="251655680" behindDoc="1" locked="0" layoutInCell="1" allowOverlap="1" wp14:anchorId="63ABD373" wp14:editId="51DBCEC0">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387047">
      <w:rPr>
        <w:noProof/>
        <w:lang w:val="ro-RO" w:eastAsia="ro-RO"/>
      </w:rPr>
      <mc:AlternateContent>
        <mc:Choice Requires="wps">
          <w:drawing>
            <wp:anchor distT="4294967291" distB="4294967291" distL="114300" distR="114300" simplePos="0" relativeHeight="251656704" behindDoc="0" locked="0" layoutInCell="1" allowOverlap="1">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7D" w:rsidRDefault="00387047">
    <w:pPr>
      <w:pStyle w:val="Header"/>
    </w:pPr>
    <w:r>
      <w:rPr>
        <w:noProof/>
        <w:lang w:val="ro-RO" w:eastAsia="ro-RO"/>
      </w:rPr>
      <w:drawing>
        <wp:anchor distT="0" distB="0" distL="114300" distR="114300" simplePos="0" relativeHeight="251658752" behindDoc="1" locked="0" layoutInCell="1" allowOverlap="1">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4294967291" distB="4294967291" distL="114300" distR="114300" simplePos="0" relativeHeight="251657728"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718B72" id="Connecteur droit 29" o:spid="_x0000_s1026" style="position:absolute;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B3AAB"/>
    <w:multiLevelType w:val="hybridMultilevel"/>
    <w:tmpl w:val="D5ACA3D6"/>
    <w:lvl w:ilvl="0" w:tplc="DAD471B2">
      <w:start w:val="1"/>
      <w:numFmt w:val="bullet"/>
      <w:lvlText w:val=""/>
      <w:lvlJc w:val="left"/>
      <w:pPr>
        <w:tabs>
          <w:tab w:val="num" w:pos="720"/>
        </w:tabs>
        <w:ind w:left="720" w:hanging="360"/>
      </w:pPr>
      <w:rPr>
        <w:rFonts w:ascii="Wingdings" w:hAnsi="Wingdings" w:hint="default"/>
      </w:rPr>
    </w:lvl>
    <w:lvl w:ilvl="1" w:tplc="4BECEFD0" w:tentative="1">
      <w:start w:val="1"/>
      <w:numFmt w:val="bullet"/>
      <w:lvlText w:val=""/>
      <w:lvlJc w:val="left"/>
      <w:pPr>
        <w:tabs>
          <w:tab w:val="num" w:pos="1440"/>
        </w:tabs>
        <w:ind w:left="1440" w:hanging="360"/>
      </w:pPr>
      <w:rPr>
        <w:rFonts w:ascii="Wingdings" w:hAnsi="Wingdings" w:hint="default"/>
      </w:rPr>
    </w:lvl>
    <w:lvl w:ilvl="2" w:tplc="C422D286" w:tentative="1">
      <w:start w:val="1"/>
      <w:numFmt w:val="bullet"/>
      <w:lvlText w:val=""/>
      <w:lvlJc w:val="left"/>
      <w:pPr>
        <w:tabs>
          <w:tab w:val="num" w:pos="2160"/>
        </w:tabs>
        <w:ind w:left="2160" w:hanging="360"/>
      </w:pPr>
      <w:rPr>
        <w:rFonts w:ascii="Wingdings" w:hAnsi="Wingdings" w:hint="default"/>
      </w:rPr>
    </w:lvl>
    <w:lvl w:ilvl="3" w:tplc="EBC43BA8" w:tentative="1">
      <w:start w:val="1"/>
      <w:numFmt w:val="bullet"/>
      <w:lvlText w:val=""/>
      <w:lvlJc w:val="left"/>
      <w:pPr>
        <w:tabs>
          <w:tab w:val="num" w:pos="2880"/>
        </w:tabs>
        <w:ind w:left="2880" w:hanging="360"/>
      </w:pPr>
      <w:rPr>
        <w:rFonts w:ascii="Wingdings" w:hAnsi="Wingdings" w:hint="default"/>
      </w:rPr>
    </w:lvl>
    <w:lvl w:ilvl="4" w:tplc="F0E29CE4" w:tentative="1">
      <w:start w:val="1"/>
      <w:numFmt w:val="bullet"/>
      <w:lvlText w:val=""/>
      <w:lvlJc w:val="left"/>
      <w:pPr>
        <w:tabs>
          <w:tab w:val="num" w:pos="3600"/>
        </w:tabs>
        <w:ind w:left="3600" w:hanging="360"/>
      </w:pPr>
      <w:rPr>
        <w:rFonts w:ascii="Wingdings" w:hAnsi="Wingdings" w:hint="default"/>
      </w:rPr>
    </w:lvl>
    <w:lvl w:ilvl="5" w:tplc="748207E2" w:tentative="1">
      <w:start w:val="1"/>
      <w:numFmt w:val="bullet"/>
      <w:lvlText w:val=""/>
      <w:lvlJc w:val="left"/>
      <w:pPr>
        <w:tabs>
          <w:tab w:val="num" w:pos="4320"/>
        </w:tabs>
        <w:ind w:left="4320" w:hanging="360"/>
      </w:pPr>
      <w:rPr>
        <w:rFonts w:ascii="Wingdings" w:hAnsi="Wingdings" w:hint="default"/>
      </w:rPr>
    </w:lvl>
    <w:lvl w:ilvl="6" w:tplc="B0D2E568" w:tentative="1">
      <w:start w:val="1"/>
      <w:numFmt w:val="bullet"/>
      <w:lvlText w:val=""/>
      <w:lvlJc w:val="left"/>
      <w:pPr>
        <w:tabs>
          <w:tab w:val="num" w:pos="5040"/>
        </w:tabs>
        <w:ind w:left="5040" w:hanging="360"/>
      </w:pPr>
      <w:rPr>
        <w:rFonts w:ascii="Wingdings" w:hAnsi="Wingdings" w:hint="default"/>
      </w:rPr>
    </w:lvl>
    <w:lvl w:ilvl="7" w:tplc="7B248B66" w:tentative="1">
      <w:start w:val="1"/>
      <w:numFmt w:val="bullet"/>
      <w:lvlText w:val=""/>
      <w:lvlJc w:val="left"/>
      <w:pPr>
        <w:tabs>
          <w:tab w:val="num" w:pos="5760"/>
        </w:tabs>
        <w:ind w:left="5760" w:hanging="360"/>
      </w:pPr>
      <w:rPr>
        <w:rFonts w:ascii="Wingdings" w:hAnsi="Wingdings" w:hint="default"/>
      </w:rPr>
    </w:lvl>
    <w:lvl w:ilvl="8" w:tplc="3E4417E6" w:tentative="1">
      <w:start w:val="1"/>
      <w:numFmt w:val="bullet"/>
      <w:lvlText w:val=""/>
      <w:lvlJc w:val="left"/>
      <w:pPr>
        <w:tabs>
          <w:tab w:val="num" w:pos="6480"/>
        </w:tabs>
        <w:ind w:left="6480" w:hanging="360"/>
      </w:pPr>
      <w:rPr>
        <w:rFonts w:ascii="Wingdings" w:hAnsi="Wingdings" w:hint="default"/>
      </w:rPr>
    </w:lvl>
  </w:abstractNum>
  <w:abstractNum w:abstractNumId="6">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3482"/>
    <w:rsid w:val="000139BB"/>
    <w:rsid w:val="0002531A"/>
    <w:rsid w:val="00025611"/>
    <w:rsid w:val="0002713B"/>
    <w:rsid w:val="000344E5"/>
    <w:rsid w:val="000353A3"/>
    <w:rsid w:val="00044C51"/>
    <w:rsid w:val="00050C5C"/>
    <w:rsid w:val="00054F1F"/>
    <w:rsid w:val="0006213D"/>
    <w:rsid w:val="00064ECD"/>
    <w:rsid w:val="00075009"/>
    <w:rsid w:val="00077616"/>
    <w:rsid w:val="00082804"/>
    <w:rsid w:val="000B396C"/>
    <w:rsid w:val="000C4D45"/>
    <w:rsid w:val="000C57F3"/>
    <w:rsid w:val="000C6AB1"/>
    <w:rsid w:val="000D3989"/>
    <w:rsid w:val="000E26C3"/>
    <w:rsid w:val="000F27A4"/>
    <w:rsid w:val="000F6882"/>
    <w:rsid w:val="0010376C"/>
    <w:rsid w:val="00110E79"/>
    <w:rsid w:val="00121FCB"/>
    <w:rsid w:val="00124007"/>
    <w:rsid w:val="00133B09"/>
    <w:rsid w:val="00133E03"/>
    <w:rsid w:val="00133F3E"/>
    <w:rsid w:val="0013571A"/>
    <w:rsid w:val="00135E9D"/>
    <w:rsid w:val="00137429"/>
    <w:rsid w:val="001420DE"/>
    <w:rsid w:val="00147F22"/>
    <w:rsid w:val="00150A9B"/>
    <w:rsid w:val="00151978"/>
    <w:rsid w:val="0015466B"/>
    <w:rsid w:val="00155CA9"/>
    <w:rsid w:val="001565B7"/>
    <w:rsid w:val="00156D92"/>
    <w:rsid w:val="001572CC"/>
    <w:rsid w:val="001675B9"/>
    <w:rsid w:val="00172DCB"/>
    <w:rsid w:val="00174F2A"/>
    <w:rsid w:val="00180297"/>
    <w:rsid w:val="00182124"/>
    <w:rsid w:val="00182858"/>
    <w:rsid w:val="00187343"/>
    <w:rsid w:val="00187D05"/>
    <w:rsid w:val="00192359"/>
    <w:rsid w:val="001979C7"/>
    <w:rsid w:val="001A08E0"/>
    <w:rsid w:val="001A2BEC"/>
    <w:rsid w:val="001A4089"/>
    <w:rsid w:val="001B1F80"/>
    <w:rsid w:val="001B3C84"/>
    <w:rsid w:val="001C762F"/>
    <w:rsid w:val="001D4ECF"/>
    <w:rsid w:val="001D6683"/>
    <w:rsid w:val="001D7347"/>
    <w:rsid w:val="001E0FBF"/>
    <w:rsid w:val="001E3418"/>
    <w:rsid w:val="001E35DD"/>
    <w:rsid w:val="001E50BE"/>
    <w:rsid w:val="001F1CA0"/>
    <w:rsid w:val="001F1FD4"/>
    <w:rsid w:val="001F2E8E"/>
    <w:rsid w:val="001F43A0"/>
    <w:rsid w:val="00202FD8"/>
    <w:rsid w:val="0021090E"/>
    <w:rsid w:val="00213B3D"/>
    <w:rsid w:val="00215D4C"/>
    <w:rsid w:val="0021602A"/>
    <w:rsid w:val="002202C8"/>
    <w:rsid w:val="00222EF9"/>
    <w:rsid w:val="00224DE9"/>
    <w:rsid w:val="002252DD"/>
    <w:rsid w:val="00226DB9"/>
    <w:rsid w:val="0022744E"/>
    <w:rsid w:val="00231BBF"/>
    <w:rsid w:val="002363B8"/>
    <w:rsid w:val="002372F0"/>
    <w:rsid w:val="00250823"/>
    <w:rsid w:val="00252C22"/>
    <w:rsid w:val="00257BF5"/>
    <w:rsid w:val="00257F44"/>
    <w:rsid w:val="0026145F"/>
    <w:rsid w:val="00273671"/>
    <w:rsid w:val="00274997"/>
    <w:rsid w:val="00275914"/>
    <w:rsid w:val="00280AA4"/>
    <w:rsid w:val="0028559D"/>
    <w:rsid w:val="00287CD7"/>
    <w:rsid w:val="002909F2"/>
    <w:rsid w:val="0029122B"/>
    <w:rsid w:val="00294F29"/>
    <w:rsid w:val="002962F5"/>
    <w:rsid w:val="00296D1B"/>
    <w:rsid w:val="00297F95"/>
    <w:rsid w:val="002A3321"/>
    <w:rsid w:val="002A4901"/>
    <w:rsid w:val="002A5011"/>
    <w:rsid w:val="002B06FB"/>
    <w:rsid w:val="002B1C54"/>
    <w:rsid w:val="002B1E5E"/>
    <w:rsid w:val="002B49D3"/>
    <w:rsid w:val="002D7043"/>
    <w:rsid w:val="002E02B9"/>
    <w:rsid w:val="002F2911"/>
    <w:rsid w:val="002F31B5"/>
    <w:rsid w:val="00300E90"/>
    <w:rsid w:val="00306305"/>
    <w:rsid w:val="00310949"/>
    <w:rsid w:val="003110DB"/>
    <w:rsid w:val="0031235B"/>
    <w:rsid w:val="00313F3F"/>
    <w:rsid w:val="0032171C"/>
    <w:rsid w:val="0032531A"/>
    <w:rsid w:val="00330137"/>
    <w:rsid w:val="00331A0F"/>
    <w:rsid w:val="003427A1"/>
    <w:rsid w:val="003454AF"/>
    <w:rsid w:val="00356BC3"/>
    <w:rsid w:val="00361D42"/>
    <w:rsid w:val="0037625B"/>
    <w:rsid w:val="00377657"/>
    <w:rsid w:val="0038399A"/>
    <w:rsid w:val="003851D6"/>
    <w:rsid w:val="00386F17"/>
    <w:rsid w:val="00387047"/>
    <w:rsid w:val="003A4B10"/>
    <w:rsid w:val="003A68AF"/>
    <w:rsid w:val="003D13C5"/>
    <w:rsid w:val="003D42BB"/>
    <w:rsid w:val="003E2B37"/>
    <w:rsid w:val="003F0D4C"/>
    <w:rsid w:val="003F1E73"/>
    <w:rsid w:val="003F329F"/>
    <w:rsid w:val="003F355E"/>
    <w:rsid w:val="003F575B"/>
    <w:rsid w:val="0040012F"/>
    <w:rsid w:val="0040565F"/>
    <w:rsid w:val="00411774"/>
    <w:rsid w:val="00411A9A"/>
    <w:rsid w:val="00412B87"/>
    <w:rsid w:val="004135D7"/>
    <w:rsid w:val="00414AFC"/>
    <w:rsid w:val="004151A6"/>
    <w:rsid w:val="0041545A"/>
    <w:rsid w:val="004162D0"/>
    <w:rsid w:val="00422B4C"/>
    <w:rsid w:val="0042492B"/>
    <w:rsid w:val="0043663B"/>
    <w:rsid w:val="00436791"/>
    <w:rsid w:val="00436B1F"/>
    <w:rsid w:val="00447C2D"/>
    <w:rsid w:val="00454322"/>
    <w:rsid w:val="004548BB"/>
    <w:rsid w:val="00461B22"/>
    <w:rsid w:val="00466953"/>
    <w:rsid w:val="0047151E"/>
    <w:rsid w:val="004763FC"/>
    <w:rsid w:val="00483B74"/>
    <w:rsid w:val="004929A7"/>
    <w:rsid w:val="0049560A"/>
    <w:rsid w:val="00495FBC"/>
    <w:rsid w:val="004970BD"/>
    <w:rsid w:val="004A3DE0"/>
    <w:rsid w:val="004A4404"/>
    <w:rsid w:val="004A4DA6"/>
    <w:rsid w:val="004A4F9C"/>
    <w:rsid w:val="004C4379"/>
    <w:rsid w:val="004C6013"/>
    <w:rsid w:val="004D53E1"/>
    <w:rsid w:val="004D5801"/>
    <w:rsid w:val="004D76E5"/>
    <w:rsid w:val="004E0DFD"/>
    <w:rsid w:val="004E3399"/>
    <w:rsid w:val="004E5167"/>
    <w:rsid w:val="004E6BFD"/>
    <w:rsid w:val="004E6F8C"/>
    <w:rsid w:val="004F0F82"/>
    <w:rsid w:val="004F35B8"/>
    <w:rsid w:val="004F47A7"/>
    <w:rsid w:val="005049FC"/>
    <w:rsid w:val="00511C3B"/>
    <w:rsid w:val="00512136"/>
    <w:rsid w:val="0051354B"/>
    <w:rsid w:val="00516C8A"/>
    <w:rsid w:val="00520579"/>
    <w:rsid w:val="00524233"/>
    <w:rsid w:val="00527BC6"/>
    <w:rsid w:val="005310CD"/>
    <w:rsid w:val="00533334"/>
    <w:rsid w:val="00533AAE"/>
    <w:rsid w:val="005374FF"/>
    <w:rsid w:val="005428C9"/>
    <w:rsid w:val="00544938"/>
    <w:rsid w:val="00544DCD"/>
    <w:rsid w:val="00550908"/>
    <w:rsid w:val="00551E26"/>
    <w:rsid w:val="00555049"/>
    <w:rsid w:val="005559A0"/>
    <w:rsid w:val="00557EB2"/>
    <w:rsid w:val="00561CDE"/>
    <w:rsid w:val="0057297B"/>
    <w:rsid w:val="0058456E"/>
    <w:rsid w:val="00584AF4"/>
    <w:rsid w:val="00584D00"/>
    <w:rsid w:val="0058685A"/>
    <w:rsid w:val="0058768F"/>
    <w:rsid w:val="005A5FE4"/>
    <w:rsid w:val="005A7528"/>
    <w:rsid w:val="005A7F8E"/>
    <w:rsid w:val="005B4751"/>
    <w:rsid w:val="005B5F32"/>
    <w:rsid w:val="005C4C37"/>
    <w:rsid w:val="005C679A"/>
    <w:rsid w:val="005D59B4"/>
    <w:rsid w:val="005E220B"/>
    <w:rsid w:val="005F0D7A"/>
    <w:rsid w:val="005F3EDF"/>
    <w:rsid w:val="005F50BF"/>
    <w:rsid w:val="005F6B24"/>
    <w:rsid w:val="00604185"/>
    <w:rsid w:val="00615462"/>
    <w:rsid w:val="00617F8A"/>
    <w:rsid w:val="006208A3"/>
    <w:rsid w:val="006233D4"/>
    <w:rsid w:val="0063195E"/>
    <w:rsid w:val="006353C5"/>
    <w:rsid w:val="006428DD"/>
    <w:rsid w:val="0064454D"/>
    <w:rsid w:val="0065012F"/>
    <w:rsid w:val="00653986"/>
    <w:rsid w:val="00654070"/>
    <w:rsid w:val="00654E7B"/>
    <w:rsid w:val="00671B3A"/>
    <w:rsid w:val="0067642B"/>
    <w:rsid w:val="006809B6"/>
    <w:rsid w:val="0069348C"/>
    <w:rsid w:val="006974DB"/>
    <w:rsid w:val="006979DF"/>
    <w:rsid w:val="006A1C56"/>
    <w:rsid w:val="006A7576"/>
    <w:rsid w:val="006B13A7"/>
    <w:rsid w:val="006B140C"/>
    <w:rsid w:val="006B2D6B"/>
    <w:rsid w:val="006B2DFB"/>
    <w:rsid w:val="006B460F"/>
    <w:rsid w:val="006B484A"/>
    <w:rsid w:val="006B6F45"/>
    <w:rsid w:val="006C1E1E"/>
    <w:rsid w:val="006C7AD3"/>
    <w:rsid w:val="006D7B4A"/>
    <w:rsid w:val="006E0300"/>
    <w:rsid w:val="006E4DA8"/>
    <w:rsid w:val="006E5747"/>
    <w:rsid w:val="006E5807"/>
    <w:rsid w:val="006E5B28"/>
    <w:rsid w:val="0070077B"/>
    <w:rsid w:val="0070376A"/>
    <w:rsid w:val="00704407"/>
    <w:rsid w:val="00717D7A"/>
    <w:rsid w:val="00723574"/>
    <w:rsid w:val="007258A5"/>
    <w:rsid w:val="00725930"/>
    <w:rsid w:val="00725DFD"/>
    <w:rsid w:val="00726B9B"/>
    <w:rsid w:val="00730A1D"/>
    <w:rsid w:val="00734E57"/>
    <w:rsid w:val="00737781"/>
    <w:rsid w:val="0075193A"/>
    <w:rsid w:val="007536FF"/>
    <w:rsid w:val="00755B46"/>
    <w:rsid w:val="007574AE"/>
    <w:rsid w:val="00760E09"/>
    <w:rsid w:val="007611E2"/>
    <w:rsid w:val="007717E8"/>
    <w:rsid w:val="00772DFF"/>
    <w:rsid w:val="00781778"/>
    <w:rsid w:val="00792FE5"/>
    <w:rsid w:val="00793A9A"/>
    <w:rsid w:val="007A130C"/>
    <w:rsid w:val="007A603D"/>
    <w:rsid w:val="007A7629"/>
    <w:rsid w:val="007A7B77"/>
    <w:rsid w:val="007B23DC"/>
    <w:rsid w:val="007B65DD"/>
    <w:rsid w:val="007C06A3"/>
    <w:rsid w:val="007C131C"/>
    <w:rsid w:val="007C21A2"/>
    <w:rsid w:val="007C4514"/>
    <w:rsid w:val="007C4C65"/>
    <w:rsid w:val="007C54BE"/>
    <w:rsid w:val="007C5CB5"/>
    <w:rsid w:val="007E13C5"/>
    <w:rsid w:val="007F3E1F"/>
    <w:rsid w:val="00800E9A"/>
    <w:rsid w:val="00803D69"/>
    <w:rsid w:val="0081179E"/>
    <w:rsid w:val="00811E06"/>
    <w:rsid w:val="0082026F"/>
    <w:rsid w:val="008269D2"/>
    <w:rsid w:val="0083217A"/>
    <w:rsid w:val="00845004"/>
    <w:rsid w:val="008473D9"/>
    <w:rsid w:val="00847498"/>
    <w:rsid w:val="00852004"/>
    <w:rsid w:val="00854A65"/>
    <w:rsid w:val="008637D4"/>
    <w:rsid w:val="008705DE"/>
    <w:rsid w:val="0087456A"/>
    <w:rsid w:val="008927FA"/>
    <w:rsid w:val="00895313"/>
    <w:rsid w:val="008959AC"/>
    <w:rsid w:val="008A1C7F"/>
    <w:rsid w:val="008A679F"/>
    <w:rsid w:val="008B44F0"/>
    <w:rsid w:val="008B51D7"/>
    <w:rsid w:val="008C64C4"/>
    <w:rsid w:val="008D0C91"/>
    <w:rsid w:val="008D0D75"/>
    <w:rsid w:val="008D31B1"/>
    <w:rsid w:val="008E2707"/>
    <w:rsid w:val="008E51DC"/>
    <w:rsid w:val="008F00BB"/>
    <w:rsid w:val="0090237D"/>
    <w:rsid w:val="00903929"/>
    <w:rsid w:val="00905F5D"/>
    <w:rsid w:val="0090608A"/>
    <w:rsid w:val="00910521"/>
    <w:rsid w:val="0091642E"/>
    <w:rsid w:val="0093674C"/>
    <w:rsid w:val="00943558"/>
    <w:rsid w:val="009443E2"/>
    <w:rsid w:val="0095321A"/>
    <w:rsid w:val="00953A23"/>
    <w:rsid w:val="009673DD"/>
    <w:rsid w:val="00971057"/>
    <w:rsid w:val="00977B2E"/>
    <w:rsid w:val="0098247F"/>
    <w:rsid w:val="00990114"/>
    <w:rsid w:val="009A0080"/>
    <w:rsid w:val="009A1265"/>
    <w:rsid w:val="009A2247"/>
    <w:rsid w:val="009A2BF3"/>
    <w:rsid w:val="009A400F"/>
    <w:rsid w:val="009A4ED6"/>
    <w:rsid w:val="009A5A7E"/>
    <w:rsid w:val="009B02D4"/>
    <w:rsid w:val="009B0B88"/>
    <w:rsid w:val="009B2BE3"/>
    <w:rsid w:val="009B7546"/>
    <w:rsid w:val="009C50CE"/>
    <w:rsid w:val="00A00A37"/>
    <w:rsid w:val="00A02B2B"/>
    <w:rsid w:val="00A05B89"/>
    <w:rsid w:val="00A11C22"/>
    <w:rsid w:val="00A1494F"/>
    <w:rsid w:val="00A1765F"/>
    <w:rsid w:val="00A31DDA"/>
    <w:rsid w:val="00A31F26"/>
    <w:rsid w:val="00A33542"/>
    <w:rsid w:val="00A56513"/>
    <w:rsid w:val="00A72AA1"/>
    <w:rsid w:val="00A73DAB"/>
    <w:rsid w:val="00A76E77"/>
    <w:rsid w:val="00A8748B"/>
    <w:rsid w:val="00A876FD"/>
    <w:rsid w:val="00AB3A55"/>
    <w:rsid w:val="00AB40B1"/>
    <w:rsid w:val="00AC4CA2"/>
    <w:rsid w:val="00AC7177"/>
    <w:rsid w:val="00AD26BD"/>
    <w:rsid w:val="00AD5228"/>
    <w:rsid w:val="00AE2361"/>
    <w:rsid w:val="00AE77A8"/>
    <w:rsid w:val="00AF1C41"/>
    <w:rsid w:val="00AF2D0D"/>
    <w:rsid w:val="00AF320E"/>
    <w:rsid w:val="00AF6306"/>
    <w:rsid w:val="00B00B9F"/>
    <w:rsid w:val="00B04352"/>
    <w:rsid w:val="00B05E53"/>
    <w:rsid w:val="00B0635C"/>
    <w:rsid w:val="00B1036E"/>
    <w:rsid w:val="00B12298"/>
    <w:rsid w:val="00B1293C"/>
    <w:rsid w:val="00B24605"/>
    <w:rsid w:val="00B2565A"/>
    <w:rsid w:val="00B30895"/>
    <w:rsid w:val="00B355A1"/>
    <w:rsid w:val="00B44AAD"/>
    <w:rsid w:val="00B50502"/>
    <w:rsid w:val="00B53276"/>
    <w:rsid w:val="00B555C3"/>
    <w:rsid w:val="00B56FB3"/>
    <w:rsid w:val="00B64B26"/>
    <w:rsid w:val="00B73D93"/>
    <w:rsid w:val="00B7777D"/>
    <w:rsid w:val="00B77AB2"/>
    <w:rsid w:val="00B81D39"/>
    <w:rsid w:val="00B83BA7"/>
    <w:rsid w:val="00B90C1C"/>
    <w:rsid w:val="00B9397F"/>
    <w:rsid w:val="00B95365"/>
    <w:rsid w:val="00BA207A"/>
    <w:rsid w:val="00BA24C2"/>
    <w:rsid w:val="00BA3ADA"/>
    <w:rsid w:val="00BA3B3A"/>
    <w:rsid w:val="00BB2CC9"/>
    <w:rsid w:val="00BB68FE"/>
    <w:rsid w:val="00BC0FB9"/>
    <w:rsid w:val="00BC44E6"/>
    <w:rsid w:val="00BC4E3D"/>
    <w:rsid w:val="00BC5637"/>
    <w:rsid w:val="00BD5ED4"/>
    <w:rsid w:val="00BD6483"/>
    <w:rsid w:val="00BE1E98"/>
    <w:rsid w:val="00BE36E2"/>
    <w:rsid w:val="00BF2A35"/>
    <w:rsid w:val="00BF4394"/>
    <w:rsid w:val="00BF55E3"/>
    <w:rsid w:val="00BF5F6B"/>
    <w:rsid w:val="00BF6EF9"/>
    <w:rsid w:val="00C00392"/>
    <w:rsid w:val="00C03E36"/>
    <w:rsid w:val="00C04602"/>
    <w:rsid w:val="00C0461B"/>
    <w:rsid w:val="00C0568B"/>
    <w:rsid w:val="00C111C6"/>
    <w:rsid w:val="00C11F4E"/>
    <w:rsid w:val="00C17458"/>
    <w:rsid w:val="00C20F36"/>
    <w:rsid w:val="00C31DC1"/>
    <w:rsid w:val="00C336BF"/>
    <w:rsid w:val="00C34C8F"/>
    <w:rsid w:val="00C3581B"/>
    <w:rsid w:val="00C35E25"/>
    <w:rsid w:val="00C37010"/>
    <w:rsid w:val="00C40C7B"/>
    <w:rsid w:val="00C433E8"/>
    <w:rsid w:val="00C43775"/>
    <w:rsid w:val="00C544BD"/>
    <w:rsid w:val="00C575BE"/>
    <w:rsid w:val="00C62D04"/>
    <w:rsid w:val="00C63512"/>
    <w:rsid w:val="00C64767"/>
    <w:rsid w:val="00C67AF0"/>
    <w:rsid w:val="00C74123"/>
    <w:rsid w:val="00C77B2E"/>
    <w:rsid w:val="00C80AFC"/>
    <w:rsid w:val="00C8126D"/>
    <w:rsid w:val="00C845B1"/>
    <w:rsid w:val="00C923A5"/>
    <w:rsid w:val="00C9406E"/>
    <w:rsid w:val="00C96DC8"/>
    <w:rsid w:val="00CA195B"/>
    <w:rsid w:val="00CA60B5"/>
    <w:rsid w:val="00CA7C79"/>
    <w:rsid w:val="00CB5723"/>
    <w:rsid w:val="00CC2A38"/>
    <w:rsid w:val="00CC60C9"/>
    <w:rsid w:val="00CD7871"/>
    <w:rsid w:val="00CE2C57"/>
    <w:rsid w:val="00CE7622"/>
    <w:rsid w:val="00CF04FB"/>
    <w:rsid w:val="00CF61D5"/>
    <w:rsid w:val="00D051CF"/>
    <w:rsid w:val="00D1262A"/>
    <w:rsid w:val="00D14937"/>
    <w:rsid w:val="00D20DC2"/>
    <w:rsid w:val="00D2600D"/>
    <w:rsid w:val="00D26C24"/>
    <w:rsid w:val="00D335BA"/>
    <w:rsid w:val="00D35B7E"/>
    <w:rsid w:val="00D44C2A"/>
    <w:rsid w:val="00D450A2"/>
    <w:rsid w:val="00D4537D"/>
    <w:rsid w:val="00D47637"/>
    <w:rsid w:val="00D51EE6"/>
    <w:rsid w:val="00D63665"/>
    <w:rsid w:val="00D665C3"/>
    <w:rsid w:val="00D66673"/>
    <w:rsid w:val="00D67B09"/>
    <w:rsid w:val="00D67F85"/>
    <w:rsid w:val="00D721D2"/>
    <w:rsid w:val="00D81B44"/>
    <w:rsid w:val="00D86ECE"/>
    <w:rsid w:val="00D90668"/>
    <w:rsid w:val="00D93282"/>
    <w:rsid w:val="00DA020F"/>
    <w:rsid w:val="00DB2CF6"/>
    <w:rsid w:val="00DB334F"/>
    <w:rsid w:val="00DB46CC"/>
    <w:rsid w:val="00DB631B"/>
    <w:rsid w:val="00DB7D2B"/>
    <w:rsid w:val="00DC0EE8"/>
    <w:rsid w:val="00DC3D7D"/>
    <w:rsid w:val="00DC5D05"/>
    <w:rsid w:val="00DE09EC"/>
    <w:rsid w:val="00DE32A8"/>
    <w:rsid w:val="00DE4AF6"/>
    <w:rsid w:val="00DE66FD"/>
    <w:rsid w:val="00DE7D68"/>
    <w:rsid w:val="00DF53E1"/>
    <w:rsid w:val="00E03A60"/>
    <w:rsid w:val="00E13900"/>
    <w:rsid w:val="00E267FA"/>
    <w:rsid w:val="00E3195B"/>
    <w:rsid w:val="00E329A0"/>
    <w:rsid w:val="00E3381F"/>
    <w:rsid w:val="00E33AFE"/>
    <w:rsid w:val="00E34FEE"/>
    <w:rsid w:val="00E500C0"/>
    <w:rsid w:val="00E51740"/>
    <w:rsid w:val="00E53C97"/>
    <w:rsid w:val="00E56683"/>
    <w:rsid w:val="00E57760"/>
    <w:rsid w:val="00E6170F"/>
    <w:rsid w:val="00E65987"/>
    <w:rsid w:val="00E675F8"/>
    <w:rsid w:val="00E75C50"/>
    <w:rsid w:val="00E80E6F"/>
    <w:rsid w:val="00E841C8"/>
    <w:rsid w:val="00E91365"/>
    <w:rsid w:val="00E94E3E"/>
    <w:rsid w:val="00EB1BB8"/>
    <w:rsid w:val="00EB7ECC"/>
    <w:rsid w:val="00EC161D"/>
    <w:rsid w:val="00EC1E3A"/>
    <w:rsid w:val="00EC6630"/>
    <w:rsid w:val="00ED3F11"/>
    <w:rsid w:val="00EE6173"/>
    <w:rsid w:val="00EE71BE"/>
    <w:rsid w:val="00EF66A5"/>
    <w:rsid w:val="00F163AE"/>
    <w:rsid w:val="00F16A6D"/>
    <w:rsid w:val="00F352D5"/>
    <w:rsid w:val="00F37E79"/>
    <w:rsid w:val="00F5024E"/>
    <w:rsid w:val="00F524E1"/>
    <w:rsid w:val="00F5331B"/>
    <w:rsid w:val="00F60822"/>
    <w:rsid w:val="00F60BF9"/>
    <w:rsid w:val="00F646BD"/>
    <w:rsid w:val="00F64AF3"/>
    <w:rsid w:val="00F701D3"/>
    <w:rsid w:val="00F801AE"/>
    <w:rsid w:val="00F83D92"/>
    <w:rsid w:val="00F92044"/>
    <w:rsid w:val="00F93AE6"/>
    <w:rsid w:val="00F93D07"/>
    <w:rsid w:val="00FA2A76"/>
    <w:rsid w:val="00FA78EE"/>
    <w:rsid w:val="00FB2C2F"/>
    <w:rsid w:val="00FC222D"/>
    <w:rsid w:val="00FC5D40"/>
    <w:rsid w:val="00FD2E6A"/>
    <w:rsid w:val="00FD4199"/>
    <w:rsid w:val="00FD4598"/>
    <w:rsid w:val="00FE27F9"/>
    <w:rsid w:val="00FE51B8"/>
    <w:rsid w:val="00FF0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locked/>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locked/>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7F85"/>
    <w:rPr>
      <w:rFonts w:ascii="Lucida Grande" w:hAnsi="Lucida Grande" w:cs="Times New Roman"/>
      <w:sz w:val="18"/>
    </w:rPr>
  </w:style>
  <w:style w:type="character" w:styleId="Hyperlink">
    <w:name w:val="Hyperlink"/>
    <w:basedOn w:val="DefaultParagraphFont"/>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PlainText">
    <w:name w:val="Plain Text"/>
    <w:basedOn w:val="Normal"/>
    <w:link w:val="PlainTextChar"/>
    <w:uiPriority w:val="99"/>
    <w:semiHidden/>
    <w:rsid w:val="006D7B4A"/>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6D7B4A"/>
    <w:rPr>
      <w:rFonts w:ascii="Calibri" w:hAnsi="Calibri" w:cs="Consolas"/>
      <w:sz w:val="21"/>
      <w:szCs w:val="21"/>
      <w:lang w:eastAsia="en-US"/>
    </w:rPr>
  </w:style>
  <w:style w:type="character" w:styleId="Emphasis">
    <w:name w:val="Emphasis"/>
    <w:basedOn w:val="DefaultParagraphFont"/>
    <w:uiPriority w:val="99"/>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rsid w:val="00C370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FootnoteText">
    <w:name w:val="footnote text"/>
    <w:basedOn w:val="Normal"/>
    <w:link w:val="FootnoteTextChar"/>
    <w:uiPriority w:val="99"/>
    <w:semiHidden/>
    <w:rsid w:val="004D53E1"/>
    <w:pPr>
      <w:widowControl w:val="0"/>
    </w:pPr>
    <w:rPr>
      <w:rFonts w:cs="Cambria"/>
      <w:sz w:val="20"/>
      <w:szCs w:val="20"/>
      <w:lang w:eastAsia="ar-SA"/>
    </w:rPr>
  </w:style>
  <w:style w:type="character" w:customStyle="1" w:styleId="FootnoteTextChar">
    <w:name w:val="Footnote Text Char"/>
    <w:basedOn w:val="DefaultParagraphFont"/>
    <w:link w:val="FootnoteText"/>
    <w:uiPriority w:val="99"/>
    <w:semiHidden/>
    <w:locked/>
    <w:rsid w:val="004D53E1"/>
    <w:rPr>
      <w:rFonts w:cs="Cambria"/>
      <w:sz w:val="20"/>
      <w:szCs w:val="20"/>
      <w:lang w:eastAsia="ar-SA" w:bidi="ar-SA"/>
    </w:rPr>
  </w:style>
  <w:style w:type="character" w:styleId="FootnoteReference">
    <w:name w:val="footnote reference"/>
    <w:basedOn w:val="DefaultParagraphFon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lang w:eastAsia="ar-SA"/>
    </w:rPr>
  </w:style>
  <w:style w:type="paragraph" w:styleId="ListParagraph">
    <w:name w:val="List Paragraph"/>
    <w:basedOn w:val="Normal"/>
    <w:uiPriority w:val="99"/>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DefaultParagraphFont"/>
    <w:rsid w:val="004E0DFD"/>
    <w:rPr>
      <w:rFonts w:cs="Times New Roman"/>
    </w:rPr>
  </w:style>
  <w:style w:type="paragraph" w:styleId="EndnoteText">
    <w:name w:val="endnote text"/>
    <w:basedOn w:val="Normal"/>
    <w:link w:val="EndnoteTextChar"/>
    <w:uiPriority w:val="99"/>
    <w:semiHidden/>
    <w:unhideWhenUsed/>
    <w:rsid w:val="001F1CA0"/>
    <w:rPr>
      <w:sz w:val="20"/>
      <w:szCs w:val="20"/>
    </w:rPr>
  </w:style>
  <w:style w:type="character" w:customStyle="1" w:styleId="EndnoteTextChar">
    <w:name w:val="Endnote Text Char"/>
    <w:basedOn w:val="DefaultParagraphFont"/>
    <w:link w:val="EndnoteText"/>
    <w:uiPriority w:val="99"/>
    <w:semiHidden/>
    <w:rsid w:val="001F1CA0"/>
    <w:rPr>
      <w:sz w:val="20"/>
      <w:szCs w:val="20"/>
    </w:rPr>
  </w:style>
  <w:style w:type="character" w:styleId="EndnoteReference">
    <w:name w:val="endnote reference"/>
    <w:basedOn w:val="DefaultParagraphFont"/>
    <w:uiPriority w:val="99"/>
    <w:semiHidden/>
    <w:unhideWhenUsed/>
    <w:rsid w:val="001F1CA0"/>
    <w:rPr>
      <w:vertAlign w:val="superscript"/>
    </w:rPr>
  </w:style>
  <w:style w:type="character" w:styleId="CommentReference">
    <w:name w:val="annotation reference"/>
    <w:basedOn w:val="DefaultParagraphFont"/>
    <w:uiPriority w:val="99"/>
    <w:semiHidden/>
    <w:unhideWhenUsed/>
    <w:rsid w:val="003E2B37"/>
    <w:rPr>
      <w:sz w:val="16"/>
      <w:szCs w:val="16"/>
    </w:rPr>
  </w:style>
  <w:style w:type="paragraph" w:styleId="CommentText">
    <w:name w:val="annotation text"/>
    <w:basedOn w:val="Normal"/>
    <w:link w:val="CommentTextChar"/>
    <w:uiPriority w:val="99"/>
    <w:semiHidden/>
    <w:unhideWhenUsed/>
    <w:rsid w:val="003E2B37"/>
    <w:rPr>
      <w:sz w:val="20"/>
      <w:szCs w:val="20"/>
    </w:rPr>
  </w:style>
  <w:style w:type="character" w:customStyle="1" w:styleId="CommentTextChar">
    <w:name w:val="Comment Text Char"/>
    <w:basedOn w:val="DefaultParagraphFont"/>
    <w:link w:val="CommentText"/>
    <w:uiPriority w:val="99"/>
    <w:semiHidden/>
    <w:rsid w:val="003E2B37"/>
    <w:rPr>
      <w:sz w:val="20"/>
      <w:szCs w:val="20"/>
    </w:rPr>
  </w:style>
  <w:style w:type="paragraph" w:styleId="CommentSubject">
    <w:name w:val="annotation subject"/>
    <w:basedOn w:val="CommentText"/>
    <w:next w:val="CommentText"/>
    <w:link w:val="CommentSubjectChar"/>
    <w:uiPriority w:val="99"/>
    <w:semiHidden/>
    <w:unhideWhenUsed/>
    <w:rsid w:val="003E2B37"/>
    <w:rPr>
      <w:b/>
      <w:bCs/>
    </w:rPr>
  </w:style>
  <w:style w:type="character" w:customStyle="1" w:styleId="CommentSubjectChar">
    <w:name w:val="Comment Subject Char"/>
    <w:basedOn w:val="CommentTextChar"/>
    <w:link w:val="CommentSubject"/>
    <w:uiPriority w:val="99"/>
    <w:semiHidden/>
    <w:rsid w:val="003E2B37"/>
    <w:rPr>
      <w:b/>
      <w:bCs/>
      <w:sz w:val="20"/>
      <w:szCs w:val="20"/>
    </w:rPr>
  </w:style>
  <w:style w:type="paragraph" w:styleId="Revision">
    <w:name w:val="Revision"/>
    <w:hidden/>
    <w:uiPriority w:val="99"/>
    <w:semiHidden/>
    <w:rsid w:val="003E2B37"/>
    <w:rPr>
      <w:sz w:val="24"/>
      <w:szCs w:val="24"/>
    </w:rPr>
  </w:style>
  <w:style w:type="character" w:customStyle="1" w:styleId="PieddepageCar1">
    <w:name w:val="Pied de page Car1"/>
    <w:basedOn w:val="DefaultParagraphFont"/>
    <w:uiPriority w:val="99"/>
    <w:rsid w:val="00155CA9"/>
    <w:rPr>
      <w:rFonts w:ascii="Cambria" w:eastAsia="MS Mincho" w:hAnsi="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locked/>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locked/>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7F85"/>
    <w:rPr>
      <w:rFonts w:ascii="Lucida Grande" w:hAnsi="Lucida Grande" w:cs="Times New Roman"/>
      <w:sz w:val="18"/>
    </w:rPr>
  </w:style>
  <w:style w:type="character" w:styleId="Hyperlink">
    <w:name w:val="Hyperlink"/>
    <w:basedOn w:val="DefaultParagraphFont"/>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PlainText">
    <w:name w:val="Plain Text"/>
    <w:basedOn w:val="Normal"/>
    <w:link w:val="PlainTextChar"/>
    <w:uiPriority w:val="99"/>
    <w:semiHidden/>
    <w:rsid w:val="006D7B4A"/>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locked/>
    <w:rsid w:val="006D7B4A"/>
    <w:rPr>
      <w:rFonts w:ascii="Calibri" w:hAnsi="Calibri" w:cs="Consolas"/>
      <w:sz w:val="21"/>
      <w:szCs w:val="21"/>
      <w:lang w:eastAsia="en-US"/>
    </w:rPr>
  </w:style>
  <w:style w:type="character" w:styleId="Emphasis">
    <w:name w:val="Emphasis"/>
    <w:basedOn w:val="DefaultParagraphFont"/>
    <w:uiPriority w:val="99"/>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rsid w:val="00C370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FootnoteText">
    <w:name w:val="footnote text"/>
    <w:basedOn w:val="Normal"/>
    <w:link w:val="FootnoteTextChar"/>
    <w:uiPriority w:val="99"/>
    <w:semiHidden/>
    <w:rsid w:val="004D53E1"/>
    <w:pPr>
      <w:widowControl w:val="0"/>
    </w:pPr>
    <w:rPr>
      <w:rFonts w:cs="Cambria"/>
      <w:sz w:val="20"/>
      <w:szCs w:val="20"/>
      <w:lang w:eastAsia="ar-SA"/>
    </w:rPr>
  </w:style>
  <w:style w:type="character" w:customStyle="1" w:styleId="FootnoteTextChar">
    <w:name w:val="Footnote Text Char"/>
    <w:basedOn w:val="DefaultParagraphFont"/>
    <w:link w:val="FootnoteText"/>
    <w:uiPriority w:val="99"/>
    <w:semiHidden/>
    <w:locked/>
    <w:rsid w:val="004D53E1"/>
    <w:rPr>
      <w:rFonts w:cs="Cambria"/>
      <w:sz w:val="20"/>
      <w:szCs w:val="20"/>
      <w:lang w:eastAsia="ar-SA" w:bidi="ar-SA"/>
    </w:rPr>
  </w:style>
  <w:style w:type="character" w:styleId="FootnoteReference">
    <w:name w:val="footnote reference"/>
    <w:basedOn w:val="DefaultParagraphFon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lang w:eastAsia="ar-SA"/>
    </w:rPr>
  </w:style>
  <w:style w:type="paragraph" w:styleId="ListParagraph">
    <w:name w:val="List Paragraph"/>
    <w:basedOn w:val="Normal"/>
    <w:uiPriority w:val="99"/>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DefaultParagraphFont"/>
    <w:rsid w:val="004E0DFD"/>
    <w:rPr>
      <w:rFonts w:cs="Times New Roman"/>
    </w:rPr>
  </w:style>
  <w:style w:type="paragraph" w:styleId="EndnoteText">
    <w:name w:val="endnote text"/>
    <w:basedOn w:val="Normal"/>
    <w:link w:val="EndnoteTextChar"/>
    <w:uiPriority w:val="99"/>
    <w:semiHidden/>
    <w:unhideWhenUsed/>
    <w:rsid w:val="001F1CA0"/>
    <w:rPr>
      <w:sz w:val="20"/>
      <w:szCs w:val="20"/>
    </w:rPr>
  </w:style>
  <w:style w:type="character" w:customStyle="1" w:styleId="EndnoteTextChar">
    <w:name w:val="Endnote Text Char"/>
    <w:basedOn w:val="DefaultParagraphFont"/>
    <w:link w:val="EndnoteText"/>
    <w:uiPriority w:val="99"/>
    <w:semiHidden/>
    <w:rsid w:val="001F1CA0"/>
    <w:rPr>
      <w:sz w:val="20"/>
      <w:szCs w:val="20"/>
    </w:rPr>
  </w:style>
  <w:style w:type="character" w:styleId="EndnoteReference">
    <w:name w:val="endnote reference"/>
    <w:basedOn w:val="DefaultParagraphFont"/>
    <w:uiPriority w:val="99"/>
    <w:semiHidden/>
    <w:unhideWhenUsed/>
    <w:rsid w:val="001F1CA0"/>
    <w:rPr>
      <w:vertAlign w:val="superscript"/>
    </w:rPr>
  </w:style>
  <w:style w:type="character" w:styleId="CommentReference">
    <w:name w:val="annotation reference"/>
    <w:basedOn w:val="DefaultParagraphFont"/>
    <w:uiPriority w:val="99"/>
    <w:semiHidden/>
    <w:unhideWhenUsed/>
    <w:rsid w:val="003E2B37"/>
    <w:rPr>
      <w:sz w:val="16"/>
      <w:szCs w:val="16"/>
    </w:rPr>
  </w:style>
  <w:style w:type="paragraph" w:styleId="CommentText">
    <w:name w:val="annotation text"/>
    <w:basedOn w:val="Normal"/>
    <w:link w:val="CommentTextChar"/>
    <w:uiPriority w:val="99"/>
    <w:semiHidden/>
    <w:unhideWhenUsed/>
    <w:rsid w:val="003E2B37"/>
    <w:rPr>
      <w:sz w:val="20"/>
      <w:szCs w:val="20"/>
    </w:rPr>
  </w:style>
  <w:style w:type="character" w:customStyle="1" w:styleId="CommentTextChar">
    <w:name w:val="Comment Text Char"/>
    <w:basedOn w:val="DefaultParagraphFont"/>
    <w:link w:val="CommentText"/>
    <w:uiPriority w:val="99"/>
    <w:semiHidden/>
    <w:rsid w:val="003E2B37"/>
    <w:rPr>
      <w:sz w:val="20"/>
      <w:szCs w:val="20"/>
    </w:rPr>
  </w:style>
  <w:style w:type="paragraph" w:styleId="CommentSubject">
    <w:name w:val="annotation subject"/>
    <w:basedOn w:val="CommentText"/>
    <w:next w:val="CommentText"/>
    <w:link w:val="CommentSubjectChar"/>
    <w:uiPriority w:val="99"/>
    <w:semiHidden/>
    <w:unhideWhenUsed/>
    <w:rsid w:val="003E2B37"/>
    <w:rPr>
      <w:b/>
      <w:bCs/>
    </w:rPr>
  </w:style>
  <w:style w:type="character" w:customStyle="1" w:styleId="CommentSubjectChar">
    <w:name w:val="Comment Subject Char"/>
    <w:basedOn w:val="CommentTextChar"/>
    <w:link w:val="CommentSubject"/>
    <w:uiPriority w:val="99"/>
    <w:semiHidden/>
    <w:rsid w:val="003E2B37"/>
    <w:rPr>
      <w:b/>
      <w:bCs/>
      <w:sz w:val="20"/>
      <w:szCs w:val="20"/>
    </w:rPr>
  </w:style>
  <w:style w:type="paragraph" w:styleId="Revision">
    <w:name w:val="Revision"/>
    <w:hidden/>
    <w:uiPriority w:val="99"/>
    <w:semiHidden/>
    <w:rsid w:val="003E2B37"/>
    <w:rPr>
      <w:sz w:val="24"/>
      <w:szCs w:val="24"/>
    </w:rPr>
  </w:style>
  <w:style w:type="character" w:customStyle="1" w:styleId="PieddepageCar1">
    <w:name w:val="Pied de page Car1"/>
    <w:basedOn w:val="DefaultParagraphFont"/>
    <w:uiPriority w:val="99"/>
    <w:rsid w:val="00155CA9"/>
    <w:rPr>
      <w:rFonts w:ascii="Cambria" w:eastAsia="MS Mincho"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718896319">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625769340">
      <w:bodyDiv w:val="1"/>
      <w:marLeft w:val="0"/>
      <w:marRight w:val="0"/>
      <w:marTop w:val="0"/>
      <w:marBottom w:val="0"/>
      <w:divBdr>
        <w:top w:val="none" w:sz="0" w:space="0" w:color="auto"/>
        <w:left w:val="none" w:sz="0" w:space="0" w:color="auto"/>
        <w:bottom w:val="none" w:sz="0" w:space="0" w:color="auto"/>
        <w:right w:val="none" w:sz="0" w:space="0" w:color="auto"/>
      </w:divBdr>
    </w:div>
    <w:div w:id="2047679282">
      <w:bodyDiv w:val="1"/>
      <w:marLeft w:val="0"/>
      <w:marRight w:val="0"/>
      <w:marTop w:val="0"/>
      <w:marBottom w:val="0"/>
      <w:divBdr>
        <w:top w:val="none" w:sz="0" w:space="0" w:color="auto"/>
        <w:left w:val="none" w:sz="0" w:space="0" w:color="auto"/>
        <w:bottom w:val="none" w:sz="0" w:space="0" w:color="auto"/>
        <w:right w:val="none" w:sz="0" w:space="0" w:color="auto"/>
      </w:divBdr>
    </w:div>
    <w:div w:id="21275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fac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ia.muscalu@cofac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3E3E-4032-48CF-BA94-55DE32EC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3439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Paris, 16 septembre 2013</vt:lpstr>
      <vt:lpstr>Paris, 16 septembre 2013</vt:lpstr>
    </vt:vector>
  </TitlesOfParts>
  <Company>COFACE</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COANDA Cristina</cp:lastModifiedBy>
  <cp:revision>6</cp:revision>
  <cp:lastPrinted>2015-05-22T10:19:00Z</cp:lastPrinted>
  <dcterms:created xsi:type="dcterms:W3CDTF">2015-05-26T08:06:00Z</dcterms:created>
  <dcterms:modified xsi:type="dcterms:W3CDTF">2015-06-09T09:46:00Z</dcterms:modified>
</cp:coreProperties>
</file>