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0531" w:rsidRPr="00B0305C" w:rsidRDefault="00FF2BCB" w:rsidP="00EC606B">
      <w:pPr>
        <w:pStyle w:val="Default"/>
        <w:tabs>
          <w:tab w:val="right" w:pos="10080"/>
        </w:tabs>
        <w:suppressAutoHyphens/>
        <w:spacing w:line="270" w:lineRule="exact"/>
        <w:rPr>
          <w:lang w:val="en-US" w:eastAsia="zh-TW"/>
        </w:rPr>
      </w:pPr>
      <w:r w:rsidRPr="00B0305C">
        <w:rPr>
          <w:rFonts w:eastAsia="MS Mincho"/>
          <w:bCs/>
          <w:sz w:val="20"/>
          <w:szCs w:val="20"/>
          <w:lang w:val="en-US" w:eastAsia="ar-SA"/>
        </w:rPr>
        <w:t>Bucharest</w:t>
      </w:r>
      <w:r w:rsidR="00810531" w:rsidRPr="00B0305C">
        <w:rPr>
          <w:rFonts w:eastAsia="MS Mincho"/>
          <w:bCs/>
          <w:sz w:val="20"/>
          <w:szCs w:val="20"/>
          <w:lang w:val="en-US" w:eastAsia="ar-SA"/>
        </w:rPr>
        <w:t>,</w:t>
      </w:r>
      <w:r w:rsidR="001669F7" w:rsidRPr="00B0305C">
        <w:rPr>
          <w:rFonts w:eastAsia="MS Mincho"/>
          <w:bCs/>
          <w:sz w:val="20"/>
          <w:szCs w:val="20"/>
          <w:lang w:val="en-US" w:eastAsia="ar-SA"/>
        </w:rPr>
        <w:t xml:space="preserve"> </w:t>
      </w:r>
      <w:r w:rsidR="0013520F" w:rsidRPr="00B0305C">
        <w:rPr>
          <w:rFonts w:eastAsia="MS Mincho"/>
          <w:bCs/>
          <w:sz w:val="20"/>
          <w:szCs w:val="20"/>
          <w:lang w:val="en-US" w:eastAsia="ar-SA"/>
        </w:rPr>
        <w:t>20</w:t>
      </w:r>
      <w:r w:rsidR="0013520F" w:rsidRPr="00B0305C">
        <w:rPr>
          <w:rFonts w:eastAsia="MS Mincho"/>
          <w:bCs/>
          <w:sz w:val="20"/>
          <w:szCs w:val="20"/>
          <w:vertAlign w:val="superscript"/>
          <w:lang w:val="en-US" w:eastAsia="ar-SA"/>
        </w:rPr>
        <w:t>th</w:t>
      </w:r>
      <w:r w:rsidR="0013520F" w:rsidRPr="00B0305C">
        <w:rPr>
          <w:rFonts w:eastAsia="MS Mincho"/>
          <w:bCs/>
          <w:sz w:val="20"/>
          <w:szCs w:val="20"/>
          <w:lang w:val="en-US" w:eastAsia="ar-SA"/>
        </w:rPr>
        <w:t xml:space="preserve"> </w:t>
      </w:r>
      <w:r w:rsidRPr="00B0305C">
        <w:rPr>
          <w:rFonts w:eastAsia="MS Mincho"/>
          <w:bCs/>
          <w:sz w:val="20"/>
          <w:szCs w:val="20"/>
          <w:lang w:val="en-US" w:eastAsia="ar-SA"/>
        </w:rPr>
        <w:t>May</w:t>
      </w:r>
      <w:r w:rsidR="00112010" w:rsidRPr="00B0305C">
        <w:rPr>
          <w:rFonts w:eastAsia="MS Mincho"/>
          <w:bCs/>
          <w:sz w:val="20"/>
          <w:szCs w:val="20"/>
          <w:lang w:val="en-US" w:eastAsia="ar-SA"/>
        </w:rPr>
        <w:t xml:space="preserve"> 2015</w:t>
      </w:r>
    </w:p>
    <w:p w:rsidR="00ED0A00" w:rsidRPr="00B0305C" w:rsidRDefault="00ED0A00" w:rsidP="00966465">
      <w:pPr>
        <w:suppressAutoHyphens/>
        <w:spacing w:line="270" w:lineRule="exact"/>
        <w:jc w:val="both"/>
        <w:rPr>
          <w:rFonts w:ascii="Arial" w:hAnsi="Arial" w:cs="Arial"/>
          <w:b/>
          <w:bCs/>
          <w:color w:val="000000"/>
          <w:sz w:val="26"/>
          <w:szCs w:val="26"/>
          <w:highlight w:val="yellow"/>
          <w:lang w:val="en-US" w:eastAsia="fr-FR"/>
        </w:rPr>
      </w:pPr>
    </w:p>
    <w:p w:rsidR="00FF2BCB" w:rsidRPr="00B0305C" w:rsidRDefault="00FF2BCB" w:rsidP="00966465">
      <w:pPr>
        <w:suppressAutoHyphens/>
        <w:spacing w:line="270" w:lineRule="exact"/>
        <w:jc w:val="both"/>
        <w:rPr>
          <w:rFonts w:ascii="Arial" w:hAnsi="Arial" w:cs="Arial"/>
          <w:b/>
          <w:bCs/>
          <w:color w:val="000000"/>
          <w:sz w:val="26"/>
          <w:szCs w:val="26"/>
          <w:highlight w:val="yellow"/>
          <w:lang w:val="en-US" w:eastAsia="fr-FR"/>
        </w:rPr>
      </w:pPr>
    </w:p>
    <w:p w:rsidR="002D0A51" w:rsidRPr="00B0305C" w:rsidRDefault="009702A2" w:rsidP="009702A2">
      <w:pPr>
        <w:spacing w:line="270" w:lineRule="exact"/>
        <w:rPr>
          <w:rFonts w:ascii="Arial" w:eastAsia="Times New Roman" w:hAnsi="Arial" w:cs="Arial"/>
          <w:b/>
          <w:sz w:val="26"/>
          <w:szCs w:val="26"/>
          <w:lang w:val="en-US"/>
        </w:rPr>
      </w:pPr>
      <w:proofErr w:type="gramStart"/>
      <w:r w:rsidRPr="00B0305C">
        <w:rPr>
          <w:rFonts w:ascii="Arial" w:eastAsia="Times New Roman" w:hAnsi="Arial" w:cs="Arial"/>
          <w:b/>
          <w:sz w:val="26"/>
          <w:szCs w:val="26"/>
          <w:lang w:val="en-US"/>
        </w:rPr>
        <w:t xml:space="preserve">Record </w:t>
      </w:r>
      <w:r w:rsidR="0013520F" w:rsidRPr="00B0305C">
        <w:rPr>
          <w:rFonts w:ascii="Arial" w:eastAsia="Times New Roman" w:hAnsi="Arial" w:cs="Arial"/>
          <w:b/>
          <w:sz w:val="26"/>
          <w:szCs w:val="26"/>
          <w:lang w:val="en-US"/>
        </w:rPr>
        <w:t>decrease</w:t>
      </w:r>
      <w:r w:rsidR="0013520F" w:rsidRPr="00B0305C">
        <w:rPr>
          <w:rFonts w:ascii="Arial" w:eastAsia="Times New Roman" w:hAnsi="Arial" w:cs="Arial"/>
          <w:b/>
          <w:sz w:val="26"/>
          <w:szCs w:val="26"/>
          <w:lang w:val="en-US"/>
        </w:rPr>
        <w:t xml:space="preserve"> in the </w:t>
      </w:r>
      <w:r w:rsidRPr="00B0305C">
        <w:rPr>
          <w:rFonts w:ascii="Arial" w:eastAsia="Times New Roman" w:hAnsi="Arial" w:cs="Arial"/>
          <w:b/>
          <w:sz w:val="26"/>
          <w:szCs w:val="26"/>
          <w:lang w:val="en-US"/>
        </w:rPr>
        <w:t>number of</w:t>
      </w:r>
      <w:r w:rsidR="0013520F" w:rsidRPr="00B0305C">
        <w:rPr>
          <w:rFonts w:ascii="Arial" w:eastAsia="Times New Roman" w:hAnsi="Arial" w:cs="Arial"/>
          <w:b/>
          <w:sz w:val="26"/>
          <w:szCs w:val="26"/>
          <w:lang w:val="en-US"/>
        </w:rPr>
        <w:t xml:space="preserve"> </w:t>
      </w:r>
      <w:r w:rsidRPr="00B0305C">
        <w:rPr>
          <w:rFonts w:ascii="Arial" w:eastAsia="Times New Roman" w:hAnsi="Arial" w:cs="Arial"/>
          <w:b/>
          <w:sz w:val="26"/>
          <w:szCs w:val="26"/>
          <w:lang w:val="en-US"/>
        </w:rPr>
        <w:t>insolvencies in Q1, but at what cost?</w:t>
      </w:r>
      <w:proofErr w:type="gramEnd"/>
      <w:r w:rsidRPr="00B0305C">
        <w:rPr>
          <w:rFonts w:ascii="Arial" w:eastAsia="Times New Roman" w:hAnsi="Arial" w:cs="Arial"/>
          <w:b/>
          <w:sz w:val="26"/>
          <w:szCs w:val="26"/>
          <w:lang w:val="en-US"/>
        </w:rPr>
        <w:t xml:space="preserve"> </w:t>
      </w:r>
    </w:p>
    <w:p w:rsidR="002D0A51" w:rsidRPr="00B0305C" w:rsidRDefault="002D0A51" w:rsidP="002D0A51">
      <w:pPr>
        <w:spacing w:line="270" w:lineRule="exact"/>
        <w:jc w:val="center"/>
        <w:rPr>
          <w:rFonts w:ascii="Arial" w:eastAsia="Times New Roman" w:hAnsi="Arial" w:cs="Arial"/>
          <w:b/>
          <w:lang w:val="en-US"/>
        </w:rPr>
      </w:pPr>
    </w:p>
    <w:p w:rsidR="002D0A51" w:rsidRPr="00B0305C" w:rsidRDefault="002D0A51" w:rsidP="002D0A51">
      <w:pPr>
        <w:spacing w:line="270" w:lineRule="exact"/>
        <w:jc w:val="center"/>
        <w:rPr>
          <w:rFonts w:ascii="Arial" w:eastAsia="Times New Roman" w:hAnsi="Arial" w:cs="Arial"/>
          <w:b/>
          <w:lang w:val="en-US"/>
        </w:rPr>
      </w:pPr>
    </w:p>
    <w:p w:rsidR="002D0A51" w:rsidRPr="00B0305C" w:rsidRDefault="002D0A51" w:rsidP="002D0A51">
      <w:pPr>
        <w:tabs>
          <w:tab w:val="left" w:pos="1260"/>
          <w:tab w:val="left" w:pos="1440"/>
        </w:tabs>
        <w:spacing w:line="270" w:lineRule="exact"/>
        <w:jc w:val="both"/>
        <w:rPr>
          <w:rFonts w:ascii="Arial" w:hAnsi="Arial" w:cs="Arial"/>
          <w:b/>
          <w:bCs/>
          <w:sz w:val="22"/>
          <w:szCs w:val="20"/>
          <w:lang w:val="en-US"/>
        </w:rPr>
      </w:pPr>
      <w:proofErr w:type="spellStart"/>
      <w:r w:rsidRPr="00B0305C">
        <w:rPr>
          <w:rFonts w:ascii="Arial" w:hAnsi="Arial" w:cs="Arial"/>
          <w:b/>
          <w:bCs/>
          <w:sz w:val="22"/>
          <w:szCs w:val="20"/>
          <w:lang w:val="en-US"/>
        </w:rPr>
        <w:t>Coface’s</w:t>
      </w:r>
      <w:proofErr w:type="spellEnd"/>
      <w:r w:rsidRPr="00B0305C">
        <w:rPr>
          <w:rFonts w:ascii="Arial" w:hAnsi="Arial" w:cs="Arial"/>
          <w:b/>
          <w:bCs/>
          <w:sz w:val="22"/>
          <w:szCs w:val="20"/>
          <w:lang w:val="en-US"/>
        </w:rPr>
        <w:t xml:space="preserve"> survey carried out based on the data provided by the National Trade Register Office shows that 2,740 new insolvencies were opened in the first quarter of 2015, down by approximately 58% compared to the same period of the previous year when 6,512 insolvencies were registered. However, in relation to 1,000 active companies, the rate of insolvencies is four times higher than the average registered at the regional level, Romania being in the first place from this point of view.</w:t>
      </w:r>
    </w:p>
    <w:p w:rsidR="002D0A51" w:rsidRPr="00B0305C" w:rsidRDefault="002D0A51" w:rsidP="002D0A51">
      <w:pPr>
        <w:tabs>
          <w:tab w:val="left" w:pos="1260"/>
          <w:tab w:val="left" w:pos="1440"/>
        </w:tabs>
        <w:spacing w:line="270" w:lineRule="exact"/>
        <w:jc w:val="both"/>
        <w:rPr>
          <w:rFonts w:ascii="Arial" w:hAnsi="Arial" w:cs="Arial"/>
          <w:b/>
          <w:bCs/>
          <w:sz w:val="20"/>
          <w:szCs w:val="20"/>
          <w:lang w:val="en-US"/>
        </w:rPr>
      </w:pPr>
    </w:p>
    <w:p w:rsidR="002D0A51" w:rsidRPr="00B0305C" w:rsidRDefault="002D0A51" w:rsidP="002D0A51">
      <w:pPr>
        <w:tabs>
          <w:tab w:val="left" w:pos="1260"/>
          <w:tab w:val="left" w:pos="1440"/>
        </w:tabs>
        <w:spacing w:line="270" w:lineRule="exact"/>
        <w:jc w:val="both"/>
        <w:rPr>
          <w:rFonts w:ascii="Arial" w:hAnsi="Arial" w:cs="Arial"/>
          <w:bCs/>
          <w:sz w:val="20"/>
          <w:szCs w:val="20"/>
          <w:lang w:val="en-US"/>
        </w:rPr>
      </w:pPr>
      <w:r w:rsidRPr="00B0305C">
        <w:rPr>
          <w:rFonts w:ascii="Arial" w:hAnsi="Arial" w:cs="Arial"/>
          <w:bCs/>
          <w:sz w:val="20"/>
          <w:szCs w:val="20"/>
          <w:lang w:val="en-US"/>
        </w:rPr>
        <w:t>The record number of decreased insolvencies in the first quarter of 2015 is due to the decrease of insolvent companies with turnover below 100 K EUR. At the same time, the contraction is also due to a significant base effect (compared to a historical record registered in the previous year). Moreover, the number of insolvencies opened in the first three months of the current year among the companies with turnover exceeding 1 MEUR is 170, up by approximately 13% compared to the same period of the previous year. Thus, the social shock - the number of jobs which might be lost - is higher by 24%.</w:t>
      </w:r>
    </w:p>
    <w:p w:rsidR="002D0A51" w:rsidRPr="00B0305C" w:rsidRDefault="002D0A51" w:rsidP="002D0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0"/>
          <w:szCs w:val="20"/>
          <w:lang w:val="en-US"/>
        </w:rPr>
      </w:pPr>
    </w:p>
    <w:p w:rsidR="002D0A51" w:rsidRPr="00B0305C" w:rsidRDefault="002D0A51" w:rsidP="002D0A51">
      <w:pPr>
        <w:spacing w:line="270" w:lineRule="exact"/>
        <w:jc w:val="both"/>
        <w:rPr>
          <w:rFonts w:ascii="Arial" w:hAnsi="Arial" w:cs="Arial"/>
          <w:b/>
          <w:bCs/>
          <w:sz w:val="20"/>
          <w:szCs w:val="20"/>
          <w:lang w:val="en-US"/>
        </w:rPr>
      </w:pPr>
      <w:r w:rsidRPr="00B0305C">
        <w:rPr>
          <w:rFonts w:ascii="Arial" w:hAnsi="Arial" w:cs="Arial"/>
          <w:b/>
          <w:bCs/>
          <w:sz w:val="20"/>
          <w:szCs w:val="20"/>
          <w:lang w:val="en-US"/>
        </w:rPr>
        <w:t>Sectorial and territorial distribution of insolvent companies</w:t>
      </w:r>
    </w:p>
    <w:p w:rsidR="002D0A51" w:rsidRPr="00B0305C" w:rsidRDefault="002D0A51" w:rsidP="002D0A51">
      <w:pPr>
        <w:spacing w:line="270" w:lineRule="exact"/>
        <w:jc w:val="both"/>
        <w:rPr>
          <w:rFonts w:ascii="Arial" w:hAnsi="Arial" w:cs="Arial"/>
          <w:bCs/>
          <w:sz w:val="20"/>
          <w:szCs w:val="20"/>
          <w:lang w:val="en-US"/>
        </w:rPr>
      </w:pPr>
    </w:p>
    <w:p w:rsidR="002D0A51" w:rsidRPr="00B0305C" w:rsidRDefault="002D0A51" w:rsidP="002D0A51">
      <w:pPr>
        <w:spacing w:line="270" w:lineRule="exact"/>
        <w:jc w:val="both"/>
        <w:rPr>
          <w:rFonts w:ascii="Arial" w:hAnsi="Arial" w:cs="Arial"/>
          <w:bCs/>
          <w:sz w:val="20"/>
          <w:szCs w:val="20"/>
          <w:lang w:val="en-US"/>
        </w:rPr>
      </w:pPr>
      <w:r w:rsidRPr="00B0305C">
        <w:rPr>
          <w:rFonts w:ascii="Arial" w:hAnsi="Arial" w:cs="Arial"/>
          <w:bCs/>
          <w:sz w:val="20"/>
          <w:szCs w:val="20"/>
          <w:lang w:val="en-US"/>
        </w:rPr>
        <w:t xml:space="preserve">In terms of </w:t>
      </w:r>
      <w:r w:rsidRPr="00B0305C">
        <w:rPr>
          <w:rFonts w:ascii="Arial" w:hAnsi="Arial" w:cs="Arial"/>
          <w:b/>
          <w:bCs/>
          <w:sz w:val="20"/>
          <w:szCs w:val="20"/>
          <w:lang w:val="en-US"/>
        </w:rPr>
        <w:t>sectorial distribution</w:t>
      </w:r>
      <w:r w:rsidRPr="00B0305C">
        <w:rPr>
          <w:rFonts w:ascii="Arial" w:hAnsi="Arial" w:cs="Arial"/>
          <w:bCs/>
          <w:sz w:val="20"/>
          <w:szCs w:val="20"/>
          <w:lang w:val="en-US"/>
        </w:rPr>
        <w:t xml:space="preserve">, the manufacturing of textiles, sanitation and waste removal, construction, HORECA and food industry are the top 5 sectors with the highest number of insolvencies related to 1,000 active companies. </w:t>
      </w:r>
    </w:p>
    <w:p w:rsidR="002D0A51" w:rsidRPr="00B0305C" w:rsidRDefault="002D0A51" w:rsidP="002D0A51">
      <w:pPr>
        <w:spacing w:line="270" w:lineRule="exact"/>
        <w:jc w:val="both"/>
        <w:rPr>
          <w:rFonts w:ascii="Arial" w:hAnsi="Arial" w:cs="Arial"/>
          <w:bCs/>
          <w:sz w:val="20"/>
          <w:szCs w:val="20"/>
          <w:lang w:val="en-US"/>
        </w:rPr>
      </w:pPr>
    </w:p>
    <w:p w:rsidR="002D0A51" w:rsidRPr="00B0305C" w:rsidRDefault="002D0A51" w:rsidP="002D0A51">
      <w:pPr>
        <w:spacing w:line="270" w:lineRule="exact"/>
        <w:jc w:val="both"/>
        <w:rPr>
          <w:rFonts w:ascii="Arial" w:hAnsi="Arial" w:cs="Arial"/>
          <w:sz w:val="20"/>
          <w:szCs w:val="20"/>
          <w:lang w:val="en-US"/>
        </w:rPr>
      </w:pPr>
      <w:r w:rsidRPr="00B0305C">
        <w:rPr>
          <w:rFonts w:ascii="Arial" w:hAnsi="Arial" w:cs="Arial"/>
          <w:b/>
          <w:sz w:val="20"/>
          <w:szCs w:val="20"/>
          <w:lang w:val="en-US"/>
        </w:rPr>
        <w:t>The territorial distribution</w:t>
      </w:r>
      <w:r w:rsidRPr="00B0305C">
        <w:rPr>
          <w:rFonts w:ascii="Arial" w:hAnsi="Arial" w:cs="Arial"/>
          <w:sz w:val="20"/>
          <w:szCs w:val="20"/>
          <w:lang w:val="en-US"/>
        </w:rPr>
        <w:t xml:space="preserve"> of insolvency cases in the first quarter of 2015 suffered important changes compared to the existing situation in the same period of the previous year. Thus, if the number of newly opened insolvencies registered similar contractions compared to the previous year for all regions, the Southern and South-Western area stands out by a major decrease (-70%).</w:t>
      </w:r>
    </w:p>
    <w:p w:rsidR="002D0A51" w:rsidRPr="00B0305C" w:rsidRDefault="002D0A51" w:rsidP="002D0A51">
      <w:pPr>
        <w:spacing w:line="270" w:lineRule="exact"/>
        <w:jc w:val="both"/>
        <w:rPr>
          <w:rFonts w:ascii="Arial" w:hAnsi="Arial" w:cs="Arial"/>
          <w:bCs/>
          <w:sz w:val="20"/>
          <w:szCs w:val="20"/>
          <w:lang w:val="en-US"/>
        </w:rPr>
      </w:pPr>
    </w:p>
    <w:p w:rsidR="002D0A51" w:rsidRPr="00B0305C" w:rsidRDefault="002D0A51" w:rsidP="002D0A51">
      <w:pPr>
        <w:spacing w:line="276" w:lineRule="auto"/>
        <w:jc w:val="both"/>
        <w:rPr>
          <w:rFonts w:ascii="Arial" w:hAnsi="Arial" w:cs="Arial"/>
          <w:b/>
          <w:sz w:val="20"/>
          <w:szCs w:val="20"/>
          <w:lang w:val="en-US"/>
        </w:rPr>
      </w:pPr>
      <w:r w:rsidRPr="00B0305C">
        <w:rPr>
          <w:rFonts w:ascii="Arial" w:hAnsi="Arial" w:cs="Arial"/>
          <w:b/>
          <w:sz w:val="20"/>
          <w:szCs w:val="20"/>
          <w:lang w:val="en-US"/>
        </w:rPr>
        <w:t>Evolution in time of insolvent companies</w:t>
      </w:r>
    </w:p>
    <w:p w:rsidR="002D0A51" w:rsidRPr="00B0305C" w:rsidRDefault="002D0A51" w:rsidP="002D0A51">
      <w:pPr>
        <w:spacing w:line="276" w:lineRule="auto"/>
        <w:jc w:val="both"/>
        <w:rPr>
          <w:rFonts w:ascii="Arial" w:hAnsi="Arial" w:cs="Arial"/>
          <w:sz w:val="20"/>
          <w:szCs w:val="20"/>
          <w:lang w:val="en-US"/>
        </w:rPr>
      </w:pPr>
    </w:p>
    <w:p w:rsidR="002D0A51" w:rsidRPr="00B0305C" w:rsidRDefault="002D0A51" w:rsidP="002D0A51">
      <w:pPr>
        <w:spacing w:line="276" w:lineRule="auto"/>
        <w:jc w:val="both"/>
        <w:rPr>
          <w:rFonts w:ascii="Arial" w:hAnsi="Arial" w:cs="Arial"/>
          <w:sz w:val="20"/>
          <w:szCs w:val="20"/>
          <w:lang w:val="en-US"/>
        </w:rPr>
      </w:pPr>
      <w:r w:rsidRPr="00B0305C">
        <w:rPr>
          <w:rFonts w:ascii="Arial" w:hAnsi="Arial" w:cs="Arial"/>
          <w:sz w:val="20"/>
          <w:szCs w:val="20"/>
          <w:lang w:val="en-US"/>
        </w:rPr>
        <w:t xml:space="preserve">For a deeper analysis of the </w:t>
      </w:r>
      <w:r w:rsidRPr="00B0305C">
        <w:rPr>
          <w:rFonts w:ascii="Arial" w:hAnsi="Arial" w:cs="Arial"/>
          <w:b/>
          <w:sz w:val="20"/>
          <w:szCs w:val="20"/>
          <w:lang w:val="en-US"/>
        </w:rPr>
        <w:t>causes which determined the insolvency of companies in the first quarter of the current year</w:t>
      </w:r>
      <w:r w:rsidRPr="00B0305C">
        <w:rPr>
          <w:rFonts w:ascii="Arial" w:hAnsi="Arial" w:cs="Arial"/>
          <w:sz w:val="20"/>
          <w:szCs w:val="20"/>
          <w:lang w:val="en-US"/>
        </w:rPr>
        <w:t xml:space="preserve">, </w:t>
      </w:r>
      <w:proofErr w:type="spellStart"/>
      <w:r w:rsidRPr="00B0305C">
        <w:rPr>
          <w:rFonts w:ascii="Arial" w:hAnsi="Arial" w:cs="Arial"/>
          <w:sz w:val="20"/>
          <w:szCs w:val="20"/>
          <w:lang w:val="en-US"/>
        </w:rPr>
        <w:t>Coface</w:t>
      </w:r>
      <w:proofErr w:type="spellEnd"/>
      <w:r w:rsidRPr="00B0305C">
        <w:rPr>
          <w:rFonts w:ascii="Arial" w:hAnsi="Arial" w:cs="Arial"/>
          <w:sz w:val="20"/>
          <w:szCs w:val="20"/>
          <w:lang w:val="en-US"/>
        </w:rPr>
        <w:t xml:space="preserve"> has made an analysis of the financial statements of these companies for the period 2008 - 2013. Thus, it can be noticed that:</w:t>
      </w:r>
    </w:p>
    <w:p w:rsidR="002D0A51" w:rsidRPr="00B0305C" w:rsidRDefault="002D0A51" w:rsidP="002D0A51">
      <w:pPr>
        <w:widowControl/>
        <w:numPr>
          <w:ilvl w:val="0"/>
          <w:numId w:val="12"/>
        </w:numPr>
        <w:jc w:val="both"/>
        <w:rPr>
          <w:rFonts w:ascii="Arial" w:hAnsi="Arial" w:cs="Arial"/>
          <w:sz w:val="20"/>
          <w:szCs w:val="20"/>
          <w:lang w:val="en-US"/>
        </w:rPr>
      </w:pPr>
      <w:r w:rsidRPr="00B0305C">
        <w:rPr>
          <w:rFonts w:ascii="Arial" w:hAnsi="Arial" w:cs="Arial"/>
          <w:sz w:val="20"/>
          <w:szCs w:val="20"/>
          <w:lang w:val="en-US"/>
        </w:rPr>
        <w:t>One of the main causes which accelerated the risk of insolvency was the gradual unbalance of the balance sheet structure. Thus, the respective companies have attracted additional financial resources (the indebtedness degree reached almost  95% in 2013) which were mainly focused on long-term investments;</w:t>
      </w:r>
    </w:p>
    <w:p w:rsidR="002D0A51" w:rsidRPr="00B0305C" w:rsidRDefault="002D0A51" w:rsidP="002D0A51">
      <w:pPr>
        <w:widowControl/>
        <w:numPr>
          <w:ilvl w:val="0"/>
          <w:numId w:val="12"/>
        </w:numPr>
        <w:spacing w:line="276" w:lineRule="auto"/>
        <w:jc w:val="both"/>
        <w:rPr>
          <w:rFonts w:ascii="Arial" w:hAnsi="Arial" w:cs="Arial"/>
          <w:sz w:val="20"/>
          <w:szCs w:val="20"/>
          <w:lang w:val="en-US"/>
        </w:rPr>
      </w:pPr>
      <w:r w:rsidRPr="00B0305C">
        <w:rPr>
          <w:rFonts w:ascii="Arial" w:hAnsi="Arial" w:cs="Arial"/>
          <w:sz w:val="20"/>
          <w:szCs w:val="20"/>
          <w:lang w:val="en-US"/>
        </w:rPr>
        <w:t xml:space="preserve">These long-term investments did not generate additional revenues or a productivity increase through improvement of the operational margin. On the contrary, the average </w:t>
      </w:r>
      <w:r w:rsidRPr="00B0305C">
        <w:rPr>
          <w:rFonts w:ascii="Arial" w:hAnsi="Arial" w:cs="Arial"/>
          <w:sz w:val="20"/>
          <w:szCs w:val="20"/>
          <w:lang w:val="en-US"/>
        </w:rPr>
        <w:lastRenderedPageBreak/>
        <w:t>revenues have decreased and the dynamics were not coupled to an appropriate adjustment of expenses;</w:t>
      </w:r>
    </w:p>
    <w:p w:rsidR="002D0A51" w:rsidRPr="00B0305C" w:rsidRDefault="002D0A51" w:rsidP="002D0A51">
      <w:pPr>
        <w:widowControl/>
        <w:numPr>
          <w:ilvl w:val="0"/>
          <w:numId w:val="12"/>
        </w:numPr>
        <w:spacing w:line="276" w:lineRule="auto"/>
        <w:jc w:val="both"/>
        <w:rPr>
          <w:rFonts w:ascii="Arial" w:hAnsi="Arial" w:cs="Arial"/>
          <w:sz w:val="20"/>
          <w:szCs w:val="20"/>
          <w:lang w:val="en-US"/>
        </w:rPr>
      </w:pPr>
      <w:r w:rsidRPr="00B0305C">
        <w:rPr>
          <w:rFonts w:ascii="Arial" w:hAnsi="Arial" w:cs="Arial"/>
          <w:sz w:val="20"/>
          <w:szCs w:val="20"/>
          <w:lang w:val="en-US"/>
        </w:rPr>
        <w:t xml:space="preserve">The companies which became insolvent in the first quarter of 2015 registered a double average duration for the collection of receivables, gradually increasing from 82 days (2008) to 155 days (2013). This has determined the increasingly slow payment of the invoices to the suppliers, the average payment duration becoming almost triple in the same period, from 85 days (2008) to 239 days (2013). </w:t>
      </w:r>
    </w:p>
    <w:p w:rsidR="002D0A51" w:rsidRPr="00B0305C" w:rsidRDefault="002D0A51" w:rsidP="002D0A51">
      <w:pPr>
        <w:spacing w:line="276" w:lineRule="auto"/>
        <w:jc w:val="both"/>
        <w:rPr>
          <w:rFonts w:ascii="Arial" w:hAnsi="Arial" w:cs="Arial"/>
          <w:sz w:val="20"/>
          <w:szCs w:val="20"/>
          <w:lang w:val="en-US"/>
        </w:rPr>
      </w:pPr>
    </w:p>
    <w:p w:rsidR="002D0A51" w:rsidRPr="00B0305C" w:rsidRDefault="002D0A51" w:rsidP="002D0A51">
      <w:pPr>
        <w:spacing w:line="276" w:lineRule="auto"/>
        <w:jc w:val="both"/>
        <w:rPr>
          <w:rFonts w:ascii="Arial" w:hAnsi="Arial" w:cs="Arial"/>
          <w:sz w:val="20"/>
          <w:szCs w:val="20"/>
          <w:lang w:val="en-US"/>
        </w:rPr>
      </w:pPr>
      <w:r w:rsidRPr="00B0305C">
        <w:rPr>
          <w:rFonts w:ascii="Arial" w:hAnsi="Arial" w:cs="Arial"/>
          <w:sz w:val="20"/>
          <w:szCs w:val="20"/>
          <w:lang w:val="en-US"/>
        </w:rPr>
        <w:t>Aspects observed among insolvent companies do not remain isolated from the general situation of the Romanian economy, but fit into the overall context of a funding structure of private companies. Thus, the claims reported in the balance sheet by private companies almost doubled in the last 8 years, rising from 167 B RON (2007) to over 310 B RON (2014). In this context, the level of cumulative trade receivables recorded nationwide for 2014 exceeds nearly three times the balance of bank loans given to non-financial companies.</w:t>
      </w:r>
    </w:p>
    <w:p w:rsidR="002D0A51" w:rsidRPr="00B0305C" w:rsidRDefault="002D0A51" w:rsidP="002D0A51">
      <w:pPr>
        <w:spacing w:line="270" w:lineRule="exact"/>
        <w:jc w:val="both"/>
        <w:rPr>
          <w:rFonts w:ascii="Arial" w:hAnsi="Arial" w:cs="Arial"/>
          <w:bCs/>
          <w:sz w:val="20"/>
          <w:szCs w:val="20"/>
          <w:lang w:val="en-US"/>
        </w:rPr>
      </w:pPr>
    </w:p>
    <w:p w:rsidR="002D0A51" w:rsidRPr="00B0305C" w:rsidRDefault="002D0A51" w:rsidP="002D0A51">
      <w:pPr>
        <w:spacing w:line="270" w:lineRule="exact"/>
        <w:jc w:val="both"/>
        <w:rPr>
          <w:rFonts w:ascii="Arial" w:hAnsi="Arial" w:cs="Arial"/>
          <w:sz w:val="20"/>
          <w:szCs w:val="20"/>
          <w:lang w:val="en-US"/>
        </w:rPr>
      </w:pPr>
      <w:r w:rsidRPr="00B0305C">
        <w:rPr>
          <w:rFonts w:ascii="Arial" w:hAnsi="Arial" w:cs="Arial"/>
          <w:bCs/>
          <w:sz w:val="20"/>
          <w:szCs w:val="20"/>
          <w:lang w:val="en-US"/>
        </w:rPr>
        <w:t xml:space="preserve">In case </w:t>
      </w:r>
      <w:r w:rsidRPr="00B0305C">
        <w:rPr>
          <w:rFonts w:ascii="Arial" w:hAnsi="Arial" w:cs="Arial"/>
          <w:b/>
          <w:bCs/>
          <w:sz w:val="20"/>
          <w:szCs w:val="20"/>
          <w:lang w:val="en-US"/>
        </w:rPr>
        <w:t xml:space="preserve">of the financing method of companies, </w:t>
      </w:r>
      <w:r w:rsidRPr="00B0305C">
        <w:rPr>
          <w:rFonts w:ascii="Arial" w:hAnsi="Arial" w:cs="Arial"/>
          <w:bCs/>
          <w:sz w:val="20"/>
          <w:szCs w:val="20"/>
          <w:lang w:val="en-US"/>
        </w:rPr>
        <w:t xml:space="preserve">the </w:t>
      </w:r>
      <w:proofErr w:type="spellStart"/>
      <w:r w:rsidRPr="00B0305C">
        <w:rPr>
          <w:rFonts w:ascii="Arial" w:hAnsi="Arial" w:cs="Arial"/>
          <w:bCs/>
          <w:sz w:val="20"/>
          <w:szCs w:val="20"/>
          <w:lang w:val="en-US"/>
        </w:rPr>
        <w:t>Coface</w:t>
      </w:r>
      <w:proofErr w:type="spellEnd"/>
      <w:r w:rsidRPr="00B0305C">
        <w:rPr>
          <w:rFonts w:ascii="Arial" w:hAnsi="Arial" w:cs="Arial"/>
          <w:bCs/>
          <w:sz w:val="20"/>
          <w:szCs w:val="20"/>
          <w:lang w:val="en-US"/>
        </w:rPr>
        <w:t xml:space="preserve"> analysts estimate that the request for credits registered in 2014 is approximately 10 times lower than in 2008. The financing restrictions which persisted in the period</w:t>
      </w:r>
      <w:r w:rsidRPr="00B0305C">
        <w:rPr>
          <w:rFonts w:ascii="Arial" w:hAnsi="Arial" w:cs="Arial"/>
          <w:sz w:val="20"/>
          <w:szCs w:val="20"/>
          <w:lang w:val="en-US"/>
        </w:rPr>
        <w:t xml:space="preserve"> 2009-2012 and which had a stronger character for the SMEs made the large and very large companies play an increasingly significant role of “commercial banks” for their clients, preferring to accept extended payment collection deadlines. In the context of these structural changes in the economy, the effect of contagion and propagation of negative shocks is much faster at present, the more so as the phenomenon of insolvency of an increasing number of large and very large companies accelerated in the first quarter of the current year.</w:t>
      </w:r>
    </w:p>
    <w:p w:rsidR="002D0A51" w:rsidRPr="00B0305C" w:rsidRDefault="002D0A51" w:rsidP="002D0A51">
      <w:pPr>
        <w:spacing w:line="276" w:lineRule="auto"/>
        <w:jc w:val="both"/>
        <w:rPr>
          <w:rFonts w:ascii="Arial" w:hAnsi="Arial" w:cs="Arial"/>
          <w:sz w:val="20"/>
          <w:szCs w:val="20"/>
          <w:lang w:val="en-US"/>
        </w:rPr>
      </w:pPr>
    </w:p>
    <w:p w:rsidR="002D0A51" w:rsidRPr="00B0305C" w:rsidRDefault="002D0A51" w:rsidP="002D0A51">
      <w:pPr>
        <w:spacing w:line="276" w:lineRule="auto"/>
        <w:jc w:val="both"/>
        <w:rPr>
          <w:rFonts w:ascii="Arial" w:hAnsi="Arial" w:cs="Arial"/>
          <w:bCs/>
          <w:sz w:val="20"/>
          <w:szCs w:val="20"/>
          <w:lang w:val="en-US"/>
        </w:rPr>
      </w:pPr>
      <w:r w:rsidRPr="00B0305C">
        <w:rPr>
          <w:rFonts w:ascii="Arial" w:hAnsi="Arial" w:cs="Arial"/>
          <w:sz w:val="20"/>
          <w:szCs w:val="20"/>
          <w:lang w:val="en-US"/>
        </w:rPr>
        <w:t>„</w:t>
      </w:r>
      <w:r w:rsidRPr="00B0305C">
        <w:rPr>
          <w:rFonts w:ascii="Arial" w:hAnsi="Arial" w:cs="Arial"/>
          <w:i/>
          <w:sz w:val="20"/>
          <w:szCs w:val="20"/>
          <w:lang w:val="en-US"/>
        </w:rPr>
        <w:t>The decrease of insolvencies is rather explained both on a base effect and a comparison with a volume record of newly opened insolvencies in the last year’s same period. Thus, 98 % of the decrease in insolvencies was found among small companies, while the number of insolvent companies that registered a turnover of more than 1 MEUR is up to 13 %. Moreover, the ratio between the number of companies that stopped their activity (of all forms ) relative to the number of new companies registered (SRL) has increased nearly five times in the analyzed period, from 0.48, the level recorded in 2008, to almost 2.32 in 2014. Therefore, the effect of private economic regeneration system remains heavy, given that Romania still suffers as far as it concerns the entrepreneurship and furthermore, the registration of new, profitable companies</w:t>
      </w:r>
      <w:r w:rsidRPr="00B0305C">
        <w:rPr>
          <w:rFonts w:ascii="Arial" w:hAnsi="Arial" w:cs="Arial"/>
          <w:sz w:val="20"/>
          <w:szCs w:val="20"/>
          <w:lang w:val="en-US"/>
        </w:rPr>
        <w:t>”, stated</w:t>
      </w:r>
      <w:r w:rsidRPr="00B0305C">
        <w:rPr>
          <w:rFonts w:ascii="Arial" w:hAnsi="Arial" w:cs="Arial"/>
          <w:bCs/>
          <w:sz w:val="20"/>
          <w:szCs w:val="20"/>
          <w:lang w:val="en-US"/>
        </w:rPr>
        <w:t xml:space="preserve"> Constantin Coman, Country Manager, </w:t>
      </w:r>
      <w:proofErr w:type="spellStart"/>
      <w:r w:rsidRPr="00B0305C">
        <w:rPr>
          <w:rFonts w:ascii="Arial" w:hAnsi="Arial" w:cs="Arial"/>
          <w:bCs/>
          <w:sz w:val="20"/>
          <w:szCs w:val="20"/>
          <w:lang w:val="en-US"/>
        </w:rPr>
        <w:t>Coface</w:t>
      </w:r>
      <w:proofErr w:type="spellEnd"/>
      <w:r w:rsidRPr="00B0305C">
        <w:rPr>
          <w:rFonts w:ascii="Arial" w:hAnsi="Arial" w:cs="Arial"/>
          <w:bCs/>
          <w:sz w:val="20"/>
          <w:szCs w:val="20"/>
          <w:lang w:val="en-US"/>
        </w:rPr>
        <w:t xml:space="preserve"> Romania.</w:t>
      </w:r>
    </w:p>
    <w:p w:rsidR="002D0A51" w:rsidRPr="00B0305C" w:rsidRDefault="002D0A51" w:rsidP="002D0A51">
      <w:pPr>
        <w:jc w:val="both"/>
        <w:rPr>
          <w:rFonts w:ascii="Arial" w:hAnsi="Arial" w:cs="Arial"/>
          <w:bCs/>
          <w:sz w:val="20"/>
          <w:szCs w:val="20"/>
          <w:lang w:val="en-US"/>
        </w:rPr>
      </w:pPr>
    </w:p>
    <w:p w:rsidR="002D0A51" w:rsidRPr="00B0305C" w:rsidRDefault="002D0A51" w:rsidP="002D0A51">
      <w:pPr>
        <w:pStyle w:val="Footer"/>
        <w:spacing w:line="276" w:lineRule="auto"/>
        <w:jc w:val="both"/>
        <w:rPr>
          <w:rFonts w:ascii="Arial" w:eastAsia="Times New Roman" w:hAnsi="Arial" w:cs="Arial"/>
          <w:b/>
          <w:bCs/>
          <w:sz w:val="20"/>
          <w:szCs w:val="20"/>
          <w:lang w:val="en-US"/>
        </w:rPr>
      </w:pPr>
    </w:p>
    <w:p w:rsidR="002D0A51" w:rsidRPr="00B0305C" w:rsidRDefault="002D0A51" w:rsidP="002D0A51">
      <w:pPr>
        <w:spacing w:line="270" w:lineRule="exact"/>
        <w:rPr>
          <w:sz w:val="20"/>
          <w:szCs w:val="20"/>
          <w:lang w:val="en-US"/>
        </w:rPr>
      </w:pPr>
    </w:p>
    <w:p w:rsidR="00FF2BCB" w:rsidRPr="00B0305C" w:rsidRDefault="00FF2BCB" w:rsidP="00FF2BCB">
      <w:pPr>
        <w:suppressAutoHyphens/>
        <w:autoSpaceDE w:val="0"/>
        <w:autoSpaceDN w:val="0"/>
        <w:adjustRightInd w:val="0"/>
        <w:spacing w:line="270" w:lineRule="exact"/>
        <w:jc w:val="both"/>
        <w:rPr>
          <w:rFonts w:ascii="Arial" w:eastAsia="Times New Roman" w:hAnsi="Arial" w:cs="Arial"/>
          <w:color w:val="000000"/>
          <w:sz w:val="20"/>
          <w:szCs w:val="20"/>
          <w:lang w:val="en-US"/>
        </w:rPr>
      </w:pPr>
    </w:p>
    <w:p w:rsidR="00FF2BCB" w:rsidRPr="00B0305C" w:rsidRDefault="00FF2BCB" w:rsidP="00FF2BCB">
      <w:pPr>
        <w:pStyle w:val="Footer"/>
        <w:spacing w:line="276" w:lineRule="auto"/>
        <w:jc w:val="both"/>
        <w:rPr>
          <w:rFonts w:ascii="Arial" w:eastAsia="Times New Roman" w:hAnsi="Arial" w:cs="Arial"/>
          <w:sz w:val="18"/>
          <w:szCs w:val="18"/>
          <w:lang w:val="en-US"/>
        </w:rPr>
      </w:pPr>
      <w:r w:rsidRPr="00B0305C">
        <w:rPr>
          <w:rFonts w:ascii="Arial" w:eastAsia="Times New Roman" w:hAnsi="Arial" w:cs="Arial"/>
          <w:b/>
          <w:bCs/>
          <w:sz w:val="18"/>
          <w:szCs w:val="18"/>
          <w:lang w:val="en-US"/>
        </w:rPr>
        <w:t>MEDIA CONTACT</w:t>
      </w:r>
      <w:r w:rsidRPr="00B0305C">
        <w:rPr>
          <w:rFonts w:ascii="Arial" w:eastAsia="Times New Roman" w:hAnsi="Arial" w:cs="Arial"/>
          <w:sz w:val="18"/>
          <w:szCs w:val="18"/>
          <w:lang w:val="en-US"/>
        </w:rPr>
        <w:t xml:space="preserve">: </w:t>
      </w:r>
    </w:p>
    <w:p w:rsidR="00FF2BCB" w:rsidRPr="00B0305C" w:rsidRDefault="00FF2BCB" w:rsidP="00FF2BCB">
      <w:pPr>
        <w:pStyle w:val="Footer"/>
        <w:spacing w:line="200" w:lineRule="exact"/>
        <w:jc w:val="both"/>
        <w:rPr>
          <w:rStyle w:val="Emphasis"/>
          <w:rFonts w:ascii="Arial" w:hAnsi="Arial" w:cs="Arial"/>
          <w:b/>
          <w:bCs/>
          <w:i w:val="0"/>
          <w:iCs/>
          <w:color w:val="000000"/>
          <w:sz w:val="21"/>
          <w:szCs w:val="21"/>
          <w:lang w:val="en-US" w:eastAsia="zh-TW"/>
        </w:rPr>
      </w:pPr>
      <w:r w:rsidRPr="00B0305C">
        <w:rPr>
          <w:rFonts w:ascii="Arial" w:eastAsia="Times New Roman" w:hAnsi="Arial" w:cs="Arial"/>
          <w:sz w:val="18"/>
          <w:szCs w:val="18"/>
          <w:u w:val="single"/>
          <w:lang w:val="en-US"/>
        </w:rPr>
        <w:t xml:space="preserve">Emilia MUSCALU - T. +40/21/231 60 20 - </w:t>
      </w:r>
      <w:hyperlink r:id="rId9" w:history="1">
        <w:r w:rsidRPr="00B0305C">
          <w:rPr>
            <w:rStyle w:val="Hyperlink"/>
            <w:rFonts w:ascii="Arial" w:eastAsia="Times New Roman" w:hAnsi="Arial" w:cs="Arial"/>
            <w:color w:val="auto"/>
            <w:sz w:val="18"/>
            <w:szCs w:val="18"/>
            <w:lang w:val="en-US"/>
          </w:rPr>
          <w:t>emilia.muscalu@coface.com</w:t>
        </w:r>
      </w:hyperlink>
    </w:p>
    <w:p w:rsidR="00AB3DB4" w:rsidRPr="00B0305C" w:rsidRDefault="00AB3DB4" w:rsidP="00AB3DB4">
      <w:pPr>
        <w:pStyle w:val="Footer"/>
        <w:spacing w:line="200" w:lineRule="exact"/>
        <w:rPr>
          <w:b/>
          <w:color w:val="002060"/>
          <w:sz w:val="28"/>
          <w:szCs w:val="28"/>
          <w:lang w:val="en-US"/>
        </w:rPr>
      </w:pPr>
    </w:p>
    <w:p w:rsidR="00D94024" w:rsidRPr="00B0305C" w:rsidRDefault="00D94024" w:rsidP="00AB3DB4">
      <w:pPr>
        <w:pStyle w:val="Footer"/>
        <w:spacing w:line="200" w:lineRule="exact"/>
        <w:rPr>
          <w:b/>
          <w:color w:val="002060"/>
          <w:sz w:val="28"/>
          <w:szCs w:val="28"/>
          <w:lang w:val="en-US"/>
        </w:rPr>
      </w:pPr>
    </w:p>
    <w:tbl>
      <w:tblPr>
        <w:tblW w:w="8535" w:type="dxa"/>
        <w:jc w:val="center"/>
        <w:tblLayout w:type="fixed"/>
        <w:tblCellMar>
          <w:left w:w="0" w:type="dxa"/>
          <w:right w:w="0" w:type="dxa"/>
        </w:tblCellMar>
        <w:tblLook w:val="00A0" w:firstRow="1" w:lastRow="0" w:firstColumn="1" w:lastColumn="0" w:noHBand="0" w:noVBand="0"/>
      </w:tblPr>
      <w:tblGrid>
        <w:gridCol w:w="8535"/>
      </w:tblGrid>
      <w:tr w:rsidR="00C871B6" w:rsidRPr="00B0305C" w:rsidTr="007B167C">
        <w:trPr>
          <w:trHeight w:val="220"/>
          <w:jc w:val="center"/>
        </w:trPr>
        <w:tc>
          <w:tcPr>
            <w:tcW w:w="8540" w:type="dxa"/>
            <w:shd w:val="clear" w:color="auto" w:fill="E9EDF4"/>
          </w:tcPr>
          <w:p w:rsidR="00C871B6" w:rsidRPr="00B0305C" w:rsidRDefault="00C871B6" w:rsidP="007B167C">
            <w:pPr>
              <w:pStyle w:val="Footer"/>
              <w:spacing w:line="200" w:lineRule="exact"/>
              <w:ind w:left="101"/>
              <w:jc w:val="both"/>
              <w:rPr>
                <w:rFonts w:ascii="Arial" w:hAnsi="Arial" w:cs="Arial"/>
                <w:sz w:val="18"/>
                <w:szCs w:val="18"/>
                <w:lang w:val="en-US"/>
              </w:rPr>
            </w:pPr>
            <w:r w:rsidRPr="00B0305C">
              <w:rPr>
                <w:rFonts w:ascii="Arial" w:hAnsi="Arial" w:cs="Arial"/>
                <w:b/>
                <w:sz w:val="18"/>
                <w:szCs w:val="18"/>
                <w:lang w:val="en-US"/>
              </w:rPr>
              <w:t xml:space="preserve">About </w:t>
            </w:r>
            <w:proofErr w:type="spellStart"/>
            <w:r w:rsidRPr="00B0305C">
              <w:rPr>
                <w:rFonts w:ascii="Arial" w:hAnsi="Arial" w:cs="Arial"/>
                <w:b/>
                <w:sz w:val="18"/>
                <w:szCs w:val="18"/>
                <w:lang w:val="en-US"/>
              </w:rPr>
              <w:t>Coface</w:t>
            </w:r>
            <w:proofErr w:type="spellEnd"/>
          </w:p>
          <w:p w:rsidR="00C871B6" w:rsidRPr="00B0305C" w:rsidRDefault="00C871B6" w:rsidP="007B167C">
            <w:pPr>
              <w:pStyle w:val="Footer"/>
              <w:spacing w:line="200" w:lineRule="exact"/>
              <w:ind w:left="101"/>
              <w:jc w:val="both"/>
              <w:rPr>
                <w:rFonts w:ascii="Arial" w:hAnsi="Arial" w:cs="Arial"/>
                <w:sz w:val="18"/>
                <w:szCs w:val="18"/>
                <w:lang w:val="en-US"/>
              </w:rPr>
            </w:pPr>
          </w:p>
          <w:p w:rsidR="00C871B6" w:rsidRPr="00B0305C" w:rsidRDefault="00C871B6" w:rsidP="007B167C">
            <w:pPr>
              <w:spacing w:line="240" w:lineRule="atLeast"/>
              <w:ind w:left="142" w:right="141"/>
              <w:jc w:val="both"/>
              <w:rPr>
                <w:rFonts w:ascii="Arial" w:hAnsi="Arial" w:cs="Arial"/>
                <w:sz w:val="18"/>
                <w:szCs w:val="18"/>
                <w:lang w:val="en-US"/>
              </w:rPr>
            </w:pPr>
            <w:r w:rsidRPr="00B0305C">
              <w:rPr>
                <w:rFonts w:ascii="Arial" w:hAnsi="Arial" w:cs="Arial"/>
                <w:sz w:val="18"/>
                <w:szCs w:val="18"/>
                <w:lang w:val="en-US"/>
              </w:rPr>
              <w:t xml:space="preserve">The </w:t>
            </w:r>
            <w:proofErr w:type="spellStart"/>
            <w:r w:rsidRPr="00B0305C">
              <w:rPr>
                <w:rFonts w:ascii="Arial" w:hAnsi="Arial" w:cs="Arial"/>
                <w:sz w:val="18"/>
                <w:szCs w:val="18"/>
                <w:lang w:val="en-US"/>
              </w:rPr>
              <w:t>Coface</w:t>
            </w:r>
            <w:proofErr w:type="spellEnd"/>
            <w:r w:rsidRPr="00B0305C">
              <w:rPr>
                <w:rFonts w:ascii="Arial" w:hAnsi="Arial" w:cs="Arial"/>
                <w:sz w:val="18"/>
                <w:szCs w:val="18"/>
                <w:lang w:val="en-US"/>
              </w:rPr>
              <w:t xml:space="preserve"> Group, a worldwide leader in credit insurance, offers companies around the globe solutions to protect them against the risk of financial default of their clients, both on the domestic market and for export. In 2014, the Group, supported by its 4,406 staff, posted a consolidated turnover of €1.441 billion. Present directly or indirectly in 98 countries, it secures transactions of 40,000 companies in </w:t>
            </w:r>
            <w:r w:rsidRPr="00B0305C">
              <w:rPr>
                <w:rFonts w:ascii="Arial" w:hAnsi="Arial" w:cs="Arial"/>
                <w:sz w:val="18"/>
                <w:szCs w:val="18"/>
                <w:lang w:val="en-US"/>
              </w:rPr>
              <w:lastRenderedPageBreak/>
              <w:t>more than 200 countries. Each quarter, </w:t>
            </w:r>
            <w:proofErr w:type="spellStart"/>
            <w:r w:rsidRPr="00B0305C">
              <w:rPr>
                <w:rFonts w:ascii="Arial" w:hAnsi="Arial" w:cs="Arial"/>
                <w:sz w:val="18"/>
                <w:szCs w:val="18"/>
                <w:lang w:val="en-US"/>
              </w:rPr>
              <w:t>Coface</w:t>
            </w:r>
            <w:proofErr w:type="spellEnd"/>
            <w:r w:rsidRPr="00B0305C">
              <w:rPr>
                <w:rFonts w:ascii="Arial" w:hAnsi="Arial" w:cs="Arial"/>
                <w:sz w:val="18"/>
                <w:szCs w:val="18"/>
                <w:lang w:val="en-US"/>
              </w:rPr>
              <w:t xml:space="preserve"> publishes its assessments of country risk for 160 countries, based on its unique knowledge of companies’ payment </w:t>
            </w:r>
            <w:proofErr w:type="spellStart"/>
            <w:r w:rsidRPr="00B0305C">
              <w:rPr>
                <w:rFonts w:ascii="Arial" w:hAnsi="Arial" w:cs="Arial"/>
                <w:sz w:val="18"/>
                <w:szCs w:val="18"/>
                <w:lang w:val="en-US"/>
              </w:rPr>
              <w:t>behaviour</w:t>
            </w:r>
            <w:proofErr w:type="spellEnd"/>
            <w:r w:rsidRPr="00B0305C">
              <w:rPr>
                <w:rFonts w:ascii="Arial" w:hAnsi="Arial" w:cs="Arial"/>
                <w:sz w:val="18"/>
                <w:szCs w:val="18"/>
                <w:lang w:val="en-US"/>
              </w:rPr>
              <w:t xml:space="preserve"> and on the expertise of its 350 underwriters located close to clients and their debtors.</w:t>
            </w:r>
          </w:p>
          <w:p w:rsidR="00C871B6" w:rsidRPr="00B0305C" w:rsidRDefault="00C871B6" w:rsidP="007B167C">
            <w:pPr>
              <w:spacing w:line="240" w:lineRule="atLeast"/>
              <w:ind w:left="142" w:right="141"/>
              <w:jc w:val="both"/>
              <w:rPr>
                <w:rFonts w:ascii="Arial" w:hAnsi="Arial" w:cs="Arial"/>
                <w:sz w:val="18"/>
                <w:szCs w:val="21"/>
                <w:lang w:val="en-US"/>
              </w:rPr>
            </w:pPr>
            <w:r w:rsidRPr="00B0305C">
              <w:rPr>
                <w:rFonts w:ascii="Arial" w:hAnsi="Arial" w:cs="Arial"/>
                <w:sz w:val="18"/>
                <w:szCs w:val="21"/>
                <w:lang w:val="en-US"/>
              </w:rPr>
              <w:t xml:space="preserve">In France, </w:t>
            </w:r>
            <w:proofErr w:type="spellStart"/>
            <w:r w:rsidRPr="00B0305C">
              <w:rPr>
                <w:rFonts w:ascii="Arial" w:hAnsi="Arial" w:cs="Arial"/>
                <w:sz w:val="18"/>
                <w:szCs w:val="21"/>
                <w:lang w:val="en-US"/>
              </w:rPr>
              <w:t>Coface</w:t>
            </w:r>
            <w:proofErr w:type="spellEnd"/>
            <w:r w:rsidRPr="00B0305C">
              <w:rPr>
                <w:rFonts w:ascii="Arial" w:hAnsi="Arial" w:cs="Arial"/>
                <w:sz w:val="18"/>
                <w:szCs w:val="21"/>
                <w:lang w:val="en-US"/>
              </w:rPr>
              <w:t xml:space="preserve"> manages export public guarantees on behalf of the French State.</w:t>
            </w:r>
          </w:p>
          <w:p w:rsidR="00C871B6" w:rsidRPr="00B0305C" w:rsidRDefault="00B0305C" w:rsidP="007B167C">
            <w:pPr>
              <w:spacing w:before="60" w:after="60" w:line="240" w:lineRule="atLeast"/>
              <w:ind w:right="113"/>
              <w:jc w:val="center"/>
              <w:rPr>
                <w:rFonts w:ascii="Arial" w:hAnsi="Arial" w:cs="Arial"/>
                <w:color w:val="0000FF"/>
                <w:sz w:val="18"/>
                <w:szCs w:val="18"/>
                <w:u w:val="single"/>
                <w:lang w:val="en-US"/>
              </w:rPr>
            </w:pPr>
            <w:hyperlink r:id="rId10" w:history="1">
              <w:r w:rsidR="00C871B6" w:rsidRPr="00B0305C">
                <w:rPr>
                  <w:rStyle w:val="Hyperlink"/>
                  <w:rFonts w:ascii="Arial" w:hAnsi="Arial" w:cs="Arial"/>
                  <w:sz w:val="18"/>
                  <w:szCs w:val="18"/>
                  <w:lang w:val="en-US"/>
                </w:rPr>
                <w:t>www.coface.com</w:t>
              </w:r>
            </w:hyperlink>
          </w:p>
          <w:p w:rsidR="00C871B6" w:rsidRPr="00B0305C" w:rsidRDefault="00C871B6" w:rsidP="007B167C">
            <w:pPr>
              <w:spacing w:before="60" w:after="60" w:line="240" w:lineRule="atLeast"/>
              <w:ind w:right="113"/>
              <w:jc w:val="center"/>
              <w:rPr>
                <w:rFonts w:ascii="Arial" w:hAnsi="Arial" w:cs="Arial"/>
                <w:color w:val="0000FF"/>
                <w:sz w:val="18"/>
                <w:szCs w:val="18"/>
                <w:u w:val="single"/>
                <w:lang w:val="en-US"/>
              </w:rPr>
            </w:pPr>
            <w:r w:rsidRPr="00B0305C">
              <w:rPr>
                <w:noProof/>
                <w:lang w:val="en-US" w:eastAsia="ro-RO"/>
              </w:rPr>
              <w:drawing>
                <wp:anchor distT="0" distB="0" distL="114300" distR="114300" simplePos="0" relativeHeight="251659264" behindDoc="0" locked="0" layoutInCell="1" allowOverlap="1" wp14:anchorId="2EBE6A50" wp14:editId="5A015408">
                  <wp:simplePos x="0" y="0"/>
                  <wp:positionH relativeFrom="column">
                    <wp:posOffset>4621530</wp:posOffset>
                  </wp:positionH>
                  <wp:positionV relativeFrom="paragraph">
                    <wp:posOffset>9525</wp:posOffset>
                  </wp:positionV>
                  <wp:extent cx="519430" cy="514350"/>
                  <wp:effectExtent l="0" t="0" r="0" b="0"/>
                  <wp:wrapNone/>
                  <wp:docPr id="2" name="Image 2"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FA-listed-emblems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pic:spPr>
                      </pic:pic>
                    </a:graphicData>
                  </a:graphic>
                  <wp14:sizeRelH relativeFrom="page">
                    <wp14:pctWidth>0</wp14:pctWidth>
                  </wp14:sizeRelH>
                  <wp14:sizeRelV relativeFrom="page">
                    <wp14:pctHeight>0</wp14:pctHeight>
                  </wp14:sizeRelV>
                </wp:anchor>
              </w:drawing>
            </w:r>
          </w:p>
          <w:p w:rsidR="00C871B6" w:rsidRPr="00B0305C" w:rsidRDefault="00C871B6" w:rsidP="007B167C">
            <w:pPr>
              <w:tabs>
                <w:tab w:val="left" w:pos="8202"/>
              </w:tabs>
              <w:autoSpaceDE w:val="0"/>
              <w:autoSpaceDN w:val="0"/>
              <w:adjustRightInd w:val="0"/>
              <w:spacing w:line="240" w:lineRule="atLeast"/>
              <w:ind w:left="348" w:right="1587"/>
              <w:jc w:val="right"/>
              <w:rPr>
                <w:rFonts w:ascii="Arial" w:hAnsi="Arial" w:cs="Arial"/>
                <w:sz w:val="18"/>
                <w:szCs w:val="18"/>
                <w:lang w:val="en-US"/>
              </w:rPr>
            </w:pPr>
            <w:proofErr w:type="spellStart"/>
            <w:r w:rsidRPr="00B0305C">
              <w:rPr>
                <w:rFonts w:ascii="Arial" w:hAnsi="Arial" w:cs="Arial"/>
                <w:sz w:val="18"/>
                <w:szCs w:val="18"/>
                <w:lang w:val="en-US"/>
              </w:rPr>
              <w:t>Coface</w:t>
            </w:r>
            <w:proofErr w:type="spellEnd"/>
            <w:r w:rsidRPr="00B0305C">
              <w:rPr>
                <w:rFonts w:ascii="Arial" w:hAnsi="Arial" w:cs="Arial"/>
                <w:sz w:val="18"/>
                <w:szCs w:val="18"/>
                <w:lang w:val="en-US"/>
              </w:rPr>
              <w:t xml:space="preserve"> SA. is listed on Euronext Paris – Compartment A</w:t>
            </w:r>
          </w:p>
          <w:p w:rsidR="00C871B6" w:rsidRPr="00B0305C" w:rsidRDefault="00C871B6" w:rsidP="007B167C">
            <w:pPr>
              <w:tabs>
                <w:tab w:val="left" w:pos="8202"/>
              </w:tabs>
              <w:autoSpaceDE w:val="0"/>
              <w:autoSpaceDN w:val="0"/>
              <w:adjustRightInd w:val="0"/>
              <w:spacing w:line="240" w:lineRule="atLeast"/>
              <w:ind w:left="348" w:right="1587"/>
              <w:jc w:val="right"/>
              <w:rPr>
                <w:rFonts w:ascii="Arial" w:hAnsi="Arial" w:cs="Arial"/>
                <w:sz w:val="18"/>
                <w:szCs w:val="18"/>
                <w:lang w:val="en-US"/>
              </w:rPr>
            </w:pPr>
            <w:r w:rsidRPr="00B0305C">
              <w:rPr>
                <w:rFonts w:ascii="Arial" w:hAnsi="Arial" w:cs="Arial"/>
                <w:sz w:val="18"/>
                <w:szCs w:val="18"/>
                <w:lang w:val="en-US"/>
              </w:rPr>
              <w:t>ISIN: FR0010667147 / Ticker: COFA</w:t>
            </w:r>
          </w:p>
          <w:p w:rsidR="00622781" w:rsidRPr="00B0305C" w:rsidRDefault="00622781" w:rsidP="007B167C">
            <w:pPr>
              <w:tabs>
                <w:tab w:val="left" w:pos="8202"/>
              </w:tabs>
              <w:autoSpaceDE w:val="0"/>
              <w:autoSpaceDN w:val="0"/>
              <w:adjustRightInd w:val="0"/>
              <w:spacing w:line="240" w:lineRule="atLeast"/>
              <w:ind w:left="348" w:right="1587"/>
              <w:jc w:val="right"/>
              <w:rPr>
                <w:rFonts w:ascii="Arial" w:hAnsi="Arial" w:cs="Arial"/>
                <w:sz w:val="18"/>
                <w:szCs w:val="18"/>
                <w:lang w:val="en-US"/>
              </w:rPr>
            </w:pPr>
          </w:p>
        </w:tc>
      </w:tr>
    </w:tbl>
    <w:p w:rsidR="00C871B6" w:rsidRPr="00B0305C" w:rsidRDefault="00C871B6"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C02DA1">
      <w:pPr>
        <w:spacing w:line="200" w:lineRule="exact"/>
        <w:rPr>
          <w:rStyle w:val="Hyperlink"/>
          <w:rFonts w:ascii="Arial" w:hAnsi="Arial" w:cs="Arial"/>
          <w:sz w:val="18"/>
          <w:szCs w:val="18"/>
          <w:lang w:val="en-US"/>
        </w:rPr>
      </w:pPr>
    </w:p>
    <w:p w:rsidR="00B0305C" w:rsidRPr="00B0305C" w:rsidRDefault="00B0305C" w:rsidP="00B0305C">
      <w:pPr>
        <w:spacing w:line="270" w:lineRule="exact"/>
        <w:jc w:val="center"/>
        <w:rPr>
          <w:rFonts w:ascii="Arial" w:hAnsi="Arial" w:cs="Arial"/>
          <w:b/>
          <w:sz w:val="20"/>
          <w:szCs w:val="20"/>
          <w:lang w:val="en-US"/>
        </w:rPr>
      </w:pPr>
      <w:r w:rsidRPr="00B0305C">
        <w:rPr>
          <w:rFonts w:ascii="Arial" w:hAnsi="Arial" w:cs="Arial"/>
          <w:b/>
          <w:sz w:val="20"/>
          <w:szCs w:val="20"/>
          <w:lang w:val="en-US"/>
        </w:rPr>
        <w:t>Appendix</w:t>
      </w:r>
    </w:p>
    <w:p w:rsidR="00B0305C" w:rsidRPr="00B0305C" w:rsidRDefault="00B0305C" w:rsidP="00B0305C">
      <w:pPr>
        <w:spacing w:line="270" w:lineRule="exact"/>
        <w:jc w:val="center"/>
        <w:rPr>
          <w:rFonts w:ascii="Arial" w:hAnsi="Arial" w:cs="Arial"/>
          <w:b/>
          <w:sz w:val="20"/>
          <w:szCs w:val="20"/>
          <w:lang w:val="en-US"/>
        </w:rPr>
      </w:pPr>
    </w:p>
    <w:p w:rsidR="00B0305C" w:rsidRPr="00B0305C" w:rsidRDefault="00B0305C" w:rsidP="00B0305C">
      <w:pPr>
        <w:spacing w:line="270" w:lineRule="exact"/>
        <w:jc w:val="center"/>
        <w:rPr>
          <w:rFonts w:ascii="Arial" w:hAnsi="Arial" w:cs="Arial"/>
          <w:b/>
          <w:sz w:val="20"/>
          <w:szCs w:val="20"/>
          <w:lang w:val="en-US"/>
        </w:rPr>
      </w:pPr>
    </w:p>
    <w:p w:rsidR="00B0305C" w:rsidRPr="00B0305C" w:rsidRDefault="00B0305C" w:rsidP="00B0305C">
      <w:pPr>
        <w:spacing w:line="270" w:lineRule="exact"/>
        <w:jc w:val="center"/>
        <w:rPr>
          <w:rFonts w:ascii="Arial" w:hAnsi="Arial" w:cs="Arial"/>
          <w:b/>
          <w:sz w:val="20"/>
          <w:szCs w:val="20"/>
          <w:lang w:val="en-US"/>
        </w:rPr>
      </w:pPr>
      <w:r w:rsidRPr="00B0305C">
        <w:rPr>
          <w:rFonts w:ascii="Arial" w:hAnsi="Arial" w:cs="Arial"/>
          <w:b/>
          <w:noProof/>
          <w:sz w:val="20"/>
          <w:szCs w:val="20"/>
          <w:lang w:val="en-US" w:eastAsia="ro-RO"/>
        </w:rPr>
        <w:drawing>
          <wp:anchor distT="0" distB="0" distL="114300" distR="114300" simplePos="0" relativeHeight="251660288" behindDoc="0" locked="0" layoutInCell="1" allowOverlap="1" wp14:anchorId="00019000" wp14:editId="56FE025A">
            <wp:simplePos x="0" y="0"/>
            <wp:positionH relativeFrom="column">
              <wp:posOffset>-255905</wp:posOffset>
            </wp:positionH>
            <wp:positionV relativeFrom="paragraph">
              <wp:posOffset>12065</wp:posOffset>
            </wp:positionV>
            <wp:extent cx="5779770" cy="37617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9770" cy="3761740"/>
                    </a:xfrm>
                    <a:prstGeom prst="rect">
                      <a:avLst/>
                    </a:prstGeom>
                    <a:noFill/>
                  </pic:spPr>
                </pic:pic>
              </a:graphicData>
            </a:graphic>
            <wp14:sizeRelH relativeFrom="page">
              <wp14:pctWidth>0</wp14:pctWidth>
            </wp14:sizeRelH>
            <wp14:sizeRelV relativeFrom="page">
              <wp14:pctHeight>0</wp14:pctHeight>
            </wp14:sizeRelV>
          </wp:anchor>
        </w:drawing>
      </w:r>
    </w:p>
    <w:p w:rsidR="00B0305C" w:rsidRPr="00B0305C" w:rsidRDefault="00B0305C" w:rsidP="00B0305C">
      <w:pPr>
        <w:spacing w:line="270" w:lineRule="exact"/>
        <w:jc w:val="center"/>
        <w:rPr>
          <w:rFonts w:ascii="Arial" w:hAnsi="Arial" w:cs="Arial"/>
          <w:b/>
          <w:sz w:val="20"/>
          <w:szCs w:val="20"/>
          <w:lang w:val="en-US"/>
        </w:rPr>
      </w:pPr>
    </w:p>
    <w:p w:rsidR="00B0305C" w:rsidRPr="00B0305C" w:rsidRDefault="00B0305C" w:rsidP="00B0305C">
      <w:pPr>
        <w:spacing w:line="270" w:lineRule="exact"/>
        <w:rPr>
          <w:rFonts w:ascii="Arial" w:hAnsi="Arial" w:cs="Arial"/>
          <w:i/>
          <w:sz w:val="20"/>
          <w:szCs w:val="20"/>
          <w:lang w:val="en-US"/>
        </w:rPr>
      </w:pPr>
    </w:p>
    <w:p w:rsidR="00B0305C" w:rsidRPr="00B0305C" w:rsidRDefault="00B0305C" w:rsidP="00B0305C">
      <w:pPr>
        <w:spacing w:line="270" w:lineRule="exact"/>
        <w:rPr>
          <w:rFonts w:ascii="Arial" w:hAnsi="Arial" w:cs="Arial"/>
          <w:i/>
          <w:sz w:val="20"/>
          <w:szCs w:val="20"/>
          <w:lang w:val="en-US"/>
        </w:rPr>
      </w:pPr>
      <w:r>
        <w:rPr>
          <w:rFonts w:ascii="Arial" w:hAnsi="Arial" w:cs="Arial"/>
          <w:i/>
          <w:sz w:val="20"/>
          <w:szCs w:val="20"/>
          <w:lang w:val="en-US"/>
        </w:rPr>
        <w:t>Source</w:t>
      </w:r>
      <w:r w:rsidRPr="00B0305C">
        <w:rPr>
          <w:rFonts w:ascii="Arial" w:hAnsi="Arial" w:cs="Arial"/>
          <w:i/>
          <w:sz w:val="20"/>
          <w:szCs w:val="20"/>
          <w:lang w:val="en-US"/>
        </w:rPr>
        <w:t xml:space="preserve">: BPI, MFP, </w:t>
      </w:r>
      <w:proofErr w:type="spellStart"/>
      <w:r>
        <w:rPr>
          <w:rFonts w:ascii="Arial" w:hAnsi="Arial" w:cs="Arial"/>
          <w:i/>
          <w:sz w:val="20"/>
          <w:szCs w:val="20"/>
          <w:lang w:val="en-US"/>
        </w:rPr>
        <w:t>Coface</w:t>
      </w:r>
      <w:proofErr w:type="spellEnd"/>
      <w:r>
        <w:rPr>
          <w:rFonts w:ascii="Arial" w:hAnsi="Arial" w:cs="Arial"/>
          <w:i/>
          <w:sz w:val="20"/>
          <w:szCs w:val="20"/>
          <w:lang w:val="en-US"/>
        </w:rPr>
        <w:t xml:space="preserve"> Data</w:t>
      </w:r>
      <w:bookmarkStart w:id="0" w:name="_GoBack"/>
      <w:bookmarkEnd w:id="0"/>
    </w:p>
    <w:p w:rsidR="00B0305C" w:rsidRPr="00B0305C" w:rsidRDefault="00B0305C" w:rsidP="00C02DA1">
      <w:pPr>
        <w:spacing w:line="200" w:lineRule="exact"/>
        <w:rPr>
          <w:rStyle w:val="Hyperlink"/>
          <w:rFonts w:ascii="Arial" w:hAnsi="Arial" w:cs="Arial"/>
          <w:sz w:val="18"/>
          <w:szCs w:val="18"/>
          <w:lang w:val="en-US"/>
        </w:rPr>
      </w:pPr>
    </w:p>
    <w:sectPr w:rsidR="00B0305C" w:rsidRPr="00B0305C" w:rsidSect="00595EDA">
      <w:headerReference w:type="default" r:id="rId13"/>
      <w:footerReference w:type="default" r:id="rId14"/>
      <w:footnotePr>
        <w:pos w:val="beneathText"/>
      </w:footnotePr>
      <w:pgSz w:w="11900" w:h="16837"/>
      <w:pgMar w:top="3118" w:right="1361" w:bottom="900" w:left="2155" w:header="3062"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04" w:rsidRDefault="00942C04">
      <w:r>
        <w:separator/>
      </w:r>
    </w:p>
  </w:endnote>
  <w:endnote w:type="continuationSeparator" w:id="0">
    <w:p w:rsidR="00942C04" w:rsidRDefault="009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ITCLegacySansLTBookRegular">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9D" w:rsidRDefault="00556D9D">
    <w:pPr>
      <w:pStyle w:val="Footer"/>
      <w:ind w:right="360"/>
    </w:pPr>
    <w:r>
      <w:rPr>
        <w:noProof/>
        <w:lang w:val="ro-RO" w:eastAsia="ro-RO"/>
      </w:rPr>
      <mc:AlternateContent>
        <mc:Choice Requires="wps">
          <w:drawing>
            <wp:anchor distT="0" distB="0" distL="0" distR="0" simplePos="0" relativeHeight="251656192" behindDoc="0" locked="0" layoutInCell="1" allowOverlap="1" wp14:anchorId="56C63822" wp14:editId="0D645A4E">
              <wp:simplePos x="0" y="0"/>
              <wp:positionH relativeFrom="page">
                <wp:posOffset>6615430</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D9D" w:rsidRPr="0051023E" w:rsidRDefault="00556D9D">
                          <w:pPr>
                            <w:pStyle w:val="Footer"/>
                            <w:rPr>
                              <w:rFonts w:ascii="Arial" w:hAnsi="Arial" w:cs="Arial"/>
                              <w:sz w:val="18"/>
                              <w:szCs w:val="20"/>
                            </w:rPr>
                          </w:pPr>
                          <w:r w:rsidRPr="0051023E">
                            <w:rPr>
                              <w:rStyle w:val="PageNumber"/>
                              <w:rFonts w:ascii="Arial" w:hAnsi="Arial" w:cs="Arial"/>
                              <w:sz w:val="18"/>
                              <w:szCs w:val="20"/>
                            </w:rPr>
                            <w:fldChar w:fldCharType="begin"/>
                          </w:r>
                          <w:r w:rsidRPr="0051023E">
                            <w:rPr>
                              <w:rStyle w:val="PageNumber"/>
                              <w:rFonts w:ascii="Arial" w:hAnsi="Arial" w:cs="Arial"/>
                              <w:sz w:val="18"/>
                              <w:szCs w:val="20"/>
                            </w:rPr>
                            <w:instrText xml:space="preserve"> PAGE </w:instrText>
                          </w:r>
                          <w:r w:rsidRPr="0051023E">
                            <w:rPr>
                              <w:rStyle w:val="PageNumber"/>
                              <w:rFonts w:ascii="Arial" w:hAnsi="Arial" w:cs="Arial"/>
                              <w:sz w:val="18"/>
                              <w:szCs w:val="20"/>
                            </w:rPr>
                            <w:fldChar w:fldCharType="separate"/>
                          </w:r>
                          <w:r w:rsidR="00B0305C">
                            <w:rPr>
                              <w:rStyle w:val="PageNumber"/>
                              <w:rFonts w:ascii="Arial" w:hAnsi="Arial" w:cs="Arial"/>
                              <w:noProof/>
                              <w:sz w:val="18"/>
                              <w:szCs w:val="20"/>
                            </w:rPr>
                            <w:t>1</w:t>
                          </w:r>
                          <w:r w:rsidRPr="0051023E">
                            <w:rPr>
                              <w:rStyle w:val="PageNumber"/>
                              <w:rFonts w:ascii="Arial" w:hAnsi="Arial" w:cs="Arial"/>
                              <w:sz w:val="18"/>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0.9pt;margin-top:.05pt;width:6pt;height:13.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5/ig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" stroked="f">
              <v:fill opacity="0"/>
              <v:textbox inset="0,0,0,0">
                <w:txbxContent>
                  <w:p w:rsidR="00556D9D" w:rsidRPr="0051023E" w:rsidRDefault="00556D9D">
                    <w:pPr>
                      <w:pStyle w:val="Footer"/>
                      <w:rPr>
                        <w:rFonts w:ascii="Arial" w:hAnsi="Arial" w:cs="Arial"/>
                        <w:sz w:val="18"/>
                        <w:szCs w:val="20"/>
                      </w:rPr>
                    </w:pPr>
                    <w:r w:rsidRPr="0051023E">
                      <w:rPr>
                        <w:rStyle w:val="PageNumber"/>
                        <w:rFonts w:ascii="Arial" w:hAnsi="Arial" w:cs="Arial"/>
                        <w:sz w:val="18"/>
                        <w:szCs w:val="20"/>
                      </w:rPr>
                      <w:fldChar w:fldCharType="begin"/>
                    </w:r>
                    <w:r w:rsidRPr="0051023E">
                      <w:rPr>
                        <w:rStyle w:val="PageNumber"/>
                        <w:rFonts w:ascii="Arial" w:hAnsi="Arial" w:cs="Arial"/>
                        <w:sz w:val="18"/>
                        <w:szCs w:val="20"/>
                      </w:rPr>
                      <w:instrText xml:space="preserve"> PAGE </w:instrText>
                    </w:r>
                    <w:r w:rsidRPr="0051023E">
                      <w:rPr>
                        <w:rStyle w:val="PageNumber"/>
                        <w:rFonts w:ascii="Arial" w:hAnsi="Arial" w:cs="Arial"/>
                        <w:sz w:val="18"/>
                        <w:szCs w:val="20"/>
                      </w:rPr>
                      <w:fldChar w:fldCharType="separate"/>
                    </w:r>
                    <w:r w:rsidR="00B0305C">
                      <w:rPr>
                        <w:rStyle w:val="PageNumber"/>
                        <w:rFonts w:ascii="Arial" w:hAnsi="Arial" w:cs="Arial"/>
                        <w:noProof/>
                        <w:sz w:val="18"/>
                        <w:szCs w:val="20"/>
                      </w:rPr>
                      <w:t>1</w:t>
                    </w:r>
                    <w:r w:rsidRPr="0051023E">
                      <w:rPr>
                        <w:rStyle w:val="PageNumber"/>
                        <w:rFonts w:ascii="Arial" w:hAnsi="Arial" w:cs="Arial"/>
                        <w:sz w:val="18"/>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04" w:rsidRDefault="00942C04">
      <w:r>
        <w:separator/>
      </w:r>
    </w:p>
  </w:footnote>
  <w:footnote w:type="continuationSeparator" w:id="0">
    <w:p w:rsidR="00942C04" w:rsidRDefault="0094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9D" w:rsidRDefault="00C871B6">
    <w:pPr>
      <w:pStyle w:val="Header"/>
      <w:rPr>
        <w:lang w:val="en-US"/>
      </w:rPr>
    </w:pPr>
    <w:r w:rsidRPr="00DC7D73">
      <w:rPr>
        <w:rFonts w:ascii="Times New Roman" w:eastAsia="Times New Roman" w:hAnsi="Times New Roman"/>
        <w:noProof/>
        <w:lang w:val="ro-RO" w:eastAsia="ro-RO"/>
      </w:rPr>
      <mc:AlternateContent>
        <mc:Choice Requires="wps">
          <w:drawing>
            <wp:anchor distT="0" distB="0" distL="114935" distR="114935" simplePos="0" relativeHeight="251659264" behindDoc="1" locked="0" layoutInCell="1" allowOverlap="1" wp14:anchorId="2AC164AD" wp14:editId="58401D4F">
              <wp:simplePos x="0" y="0"/>
              <wp:positionH relativeFrom="column">
                <wp:posOffset>39802</wp:posOffset>
              </wp:positionH>
              <wp:positionV relativeFrom="page">
                <wp:posOffset>1619250</wp:posOffset>
              </wp:positionV>
              <wp:extent cx="5755005" cy="330200"/>
              <wp:effectExtent l="0" t="0" r="0" b="0"/>
              <wp:wrapNone/>
              <wp:docPr id="7"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1B6" w:rsidRDefault="00C871B6" w:rsidP="00C871B6">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3.15pt;margin-top:127.5pt;width:453.15pt;height:2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" stroked="f">
              <v:fill opacity="0"/>
              <v:textbox inset="0,0,0,0">
                <w:txbxContent>
                  <w:p w:rsidR="00C871B6" w:rsidRDefault="00C871B6" w:rsidP="00C871B6">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v:textbox>
              <w10:wrap anchory="page"/>
            </v:shape>
          </w:pict>
        </mc:Fallback>
      </mc:AlternateContent>
    </w:r>
    <w:r w:rsidR="00556D9D">
      <w:rPr>
        <w:noProof/>
        <w:lang w:val="ro-RO" w:eastAsia="ro-RO"/>
      </w:rPr>
      <w:drawing>
        <wp:anchor distT="0" distB="0" distL="114935" distR="114935" simplePos="0" relativeHeight="251657216" behindDoc="1" locked="0" layoutInCell="1" allowOverlap="1" wp14:anchorId="2EB13F16" wp14:editId="60CDEB3C">
          <wp:simplePos x="0" y="0"/>
          <wp:positionH relativeFrom="column">
            <wp:posOffset>-458470</wp:posOffset>
          </wp:positionH>
          <wp:positionV relativeFrom="page">
            <wp:posOffset>585470</wp:posOffset>
          </wp:positionV>
          <wp:extent cx="5761990" cy="13157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315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hybridMultilevel"/>
    <w:tmpl w:val="00000002"/>
    <w:name w:val="WW8Num5"/>
    <w:lvl w:ilvl="0" w:tplc="9DEA9B62">
      <w:start w:val="1"/>
      <w:numFmt w:val="bullet"/>
      <w:lvlText w:val=""/>
      <w:lvlJc w:val="left"/>
      <w:pPr>
        <w:tabs>
          <w:tab w:val="num" w:pos="792"/>
        </w:tabs>
        <w:ind w:left="792" w:hanging="360"/>
      </w:pPr>
      <w:rPr>
        <w:rFonts w:ascii="Symbol" w:hAnsi="Symbol"/>
        <w:color w:val="auto"/>
        <w:w w:val="100"/>
      </w:rPr>
    </w:lvl>
    <w:lvl w:ilvl="1" w:tplc="6708052A">
      <w:start w:val="1"/>
      <w:numFmt w:val="lowerLetter"/>
      <w:lvlText w:val="%2."/>
      <w:lvlJc w:val="left"/>
      <w:pPr>
        <w:ind w:left="1440" w:hanging="360"/>
      </w:pPr>
    </w:lvl>
    <w:lvl w:ilvl="2" w:tplc="97088F38">
      <w:start w:val="1"/>
      <w:numFmt w:val="lowerRoman"/>
      <w:lvlText w:val="%3."/>
      <w:lvlJc w:val="right"/>
      <w:pPr>
        <w:ind w:left="2160" w:hanging="180"/>
      </w:pPr>
    </w:lvl>
    <w:lvl w:ilvl="3" w:tplc="FA88ED36">
      <w:start w:val="1"/>
      <w:numFmt w:val="decimal"/>
      <w:lvlText w:val="%4."/>
      <w:lvlJc w:val="left"/>
      <w:pPr>
        <w:ind w:left="2880" w:hanging="360"/>
      </w:pPr>
    </w:lvl>
    <w:lvl w:ilvl="4" w:tplc="AFC83F9C">
      <w:start w:val="1"/>
      <w:numFmt w:val="lowerLetter"/>
      <w:lvlText w:val="%5."/>
      <w:lvlJc w:val="left"/>
      <w:pPr>
        <w:ind w:left="3600" w:hanging="360"/>
      </w:pPr>
    </w:lvl>
    <w:lvl w:ilvl="5" w:tplc="8EC8F160">
      <w:start w:val="1"/>
      <w:numFmt w:val="lowerRoman"/>
      <w:lvlText w:val="%6."/>
      <w:lvlJc w:val="right"/>
      <w:pPr>
        <w:ind w:left="4320" w:hanging="180"/>
      </w:pPr>
    </w:lvl>
    <w:lvl w:ilvl="6" w:tplc="9B8E1DE6">
      <w:start w:val="1"/>
      <w:numFmt w:val="decimal"/>
      <w:lvlText w:val="%7."/>
      <w:lvlJc w:val="left"/>
      <w:pPr>
        <w:ind w:left="5040" w:hanging="360"/>
      </w:pPr>
    </w:lvl>
    <w:lvl w:ilvl="7" w:tplc="57C0EED8">
      <w:start w:val="1"/>
      <w:numFmt w:val="lowerLetter"/>
      <w:lvlText w:val="%8."/>
      <w:lvlJc w:val="left"/>
      <w:pPr>
        <w:ind w:left="5760" w:hanging="360"/>
      </w:pPr>
    </w:lvl>
    <w:lvl w:ilvl="8" w:tplc="52DAEC9E">
      <w:start w:val="1"/>
      <w:numFmt w:val="lowerRoman"/>
      <w:lvlText w:val="%9."/>
      <w:lvlJc w:val="right"/>
      <w:pPr>
        <w:ind w:left="6480" w:hanging="180"/>
      </w:pPr>
    </w:lvl>
  </w:abstractNum>
  <w:abstractNum w:abstractNumId="2">
    <w:nsid w:val="00000003"/>
    <w:multiLevelType w:val="multilevel"/>
    <w:tmpl w:val="00000003"/>
    <w:name w:val="WW8Num9"/>
    <w:lvl w:ilvl="0">
      <w:start w:val="1"/>
      <w:numFmt w:val="bullet"/>
      <w:lvlText w:val=""/>
      <w:lvlJc w:val="left"/>
      <w:pPr>
        <w:tabs>
          <w:tab w:val="num" w:pos="2340"/>
        </w:tabs>
        <w:ind w:left="2340" w:hanging="360"/>
      </w:pPr>
      <w:rPr>
        <w:rFonts w:ascii="Symbol" w:hAnsi="Symbol"/>
        <w:color w:val="000080"/>
      </w:rPr>
    </w:lvl>
    <w:lvl w:ilvl="1">
      <w:start w:val="1"/>
      <w:numFmt w:val="bullet"/>
      <w:lvlText w:val=""/>
      <w:lvlJc w:val="left"/>
      <w:pPr>
        <w:tabs>
          <w:tab w:val="num" w:pos="1440"/>
        </w:tabs>
        <w:ind w:left="1440" w:hanging="360"/>
      </w:pPr>
      <w:rPr>
        <w:rFonts w:ascii="Wingdings" w:hAnsi="Wingdings"/>
        <w:color w:val="auto"/>
      </w:rPr>
    </w:lvl>
    <w:lvl w:ilvl="2">
      <w:numFmt w:val="bullet"/>
      <w:lvlText w:val="-"/>
      <w:lvlJc w:val="left"/>
      <w:pPr>
        <w:tabs>
          <w:tab w:val="num" w:pos="2505"/>
        </w:tabs>
        <w:ind w:left="2505" w:hanging="705"/>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8432041"/>
    <w:multiLevelType w:val="hybridMultilevel"/>
    <w:tmpl w:val="5176B5F0"/>
    <w:lvl w:ilvl="0" w:tplc="9E9C42C8">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4">
    <w:nsid w:val="1B83367C"/>
    <w:multiLevelType w:val="hybridMultilevel"/>
    <w:tmpl w:val="B4CC63AC"/>
    <w:lvl w:ilvl="0" w:tplc="A2AE6B64">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B00E0E"/>
    <w:multiLevelType w:val="hybridMultilevel"/>
    <w:tmpl w:val="E0D256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043360C"/>
    <w:multiLevelType w:val="hybridMultilevel"/>
    <w:tmpl w:val="3C18E13E"/>
    <w:lvl w:ilvl="0" w:tplc="59A8F60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8A4909"/>
    <w:multiLevelType w:val="hybridMultilevel"/>
    <w:tmpl w:val="4920CFDA"/>
    <w:lvl w:ilvl="0" w:tplc="A2AE6B64">
      <w:start w:val="1"/>
      <w:numFmt w:val="bullet"/>
      <w:lvlText w:val=""/>
      <w:lvlJc w:val="left"/>
      <w:pPr>
        <w:ind w:left="720" w:hanging="360"/>
      </w:pPr>
      <w:rPr>
        <w:rFonts w:ascii="Symbol" w:hAnsi="Symbol" w:hint="default"/>
        <w:color w:val="00B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5B0906"/>
    <w:multiLevelType w:val="hybridMultilevel"/>
    <w:tmpl w:val="C9265ED4"/>
    <w:lvl w:ilvl="0" w:tplc="00000002">
      <w:start w:val="1"/>
      <w:numFmt w:val="bullet"/>
      <w:lvlText w:val=""/>
      <w:lvlJc w:val="left"/>
      <w:pPr>
        <w:ind w:left="720" w:hanging="360"/>
      </w:pPr>
      <w:rPr>
        <w:rFonts w:ascii="Symbol" w:hAnsi="Symbol"/>
        <w:color w:val="auto"/>
        <w:w w:val="1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51A60144"/>
    <w:multiLevelType w:val="hybridMultilevel"/>
    <w:tmpl w:val="9D7ADC5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602C487F"/>
    <w:multiLevelType w:val="hybridMultilevel"/>
    <w:tmpl w:val="5902FAF0"/>
    <w:lvl w:ilvl="0" w:tplc="5B206F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BF15BD"/>
    <w:multiLevelType w:val="hybridMultilevel"/>
    <w:tmpl w:val="021C5D38"/>
    <w:lvl w:ilvl="0" w:tplc="91748D98">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8"/>
  </w:num>
  <w:num w:numId="8">
    <w:abstractNumId w:val="11"/>
  </w:num>
  <w:num w:numId="9">
    <w:abstractNumId w:val="10"/>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81"/>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350AC8-568E-421C-BD39-D38DE76BC38B}"/>
    <w:docVar w:name="dgnword-eventsink" w:val="125352096"/>
  </w:docVars>
  <w:rsids>
    <w:rsidRoot w:val="00F442C6"/>
    <w:rsid w:val="00000AC9"/>
    <w:rsid w:val="0000564F"/>
    <w:rsid w:val="00006615"/>
    <w:rsid w:val="0000717D"/>
    <w:rsid w:val="00007813"/>
    <w:rsid w:val="00007870"/>
    <w:rsid w:val="00017D41"/>
    <w:rsid w:val="00020C9A"/>
    <w:rsid w:val="000256BC"/>
    <w:rsid w:val="00026839"/>
    <w:rsid w:val="00027792"/>
    <w:rsid w:val="0003760E"/>
    <w:rsid w:val="00040B92"/>
    <w:rsid w:val="000430D5"/>
    <w:rsid w:val="000442C3"/>
    <w:rsid w:val="00053E30"/>
    <w:rsid w:val="0005671B"/>
    <w:rsid w:val="00057D77"/>
    <w:rsid w:val="000611C2"/>
    <w:rsid w:val="00062A78"/>
    <w:rsid w:val="0007040A"/>
    <w:rsid w:val="00074582"/>
    <w:rsid w:val="000754CE"/>
    <w:rsid w:val="0007680A"/>
    <w:rsid w:val="00080B2C"/>
    <w:rsid w:val="00082184"/>
    <w:rsid w:val="000858AB"/>
    <w:rsid w:val="00090414"/>
    <w:rsid w:val="00091872"/>
    <w:rsid w:val="00095650"/>
    <w:rsid w:val="000977E1"/>
    <w:rsid w:val="000A223A"/>
    <w:rsid w:val="000A38BF"/>
    <w:rsid w:val="000A411C"/>
    <w:rsid w:val="000B244A"/>
    <w:rsid w:val="000B3975"/>
    <w:rsid w:val="000B47B9"/>
    <w:rsid w:val="000B61A4"/>
    <w:rsid w:val="000B66AA"/>
    <w:rsid w:val="000B6FBC"/>
    <w:rsid w:val="000B7CCE"/>
    <w:rsid w:val="000C29B0"/>
    <w:rsid w:val="000C5597"/>
    <w:rsid w:val="000D1C10"/>
    <w:rsid w:val="000E306F"/>
    <w:rsid w:val="000E5B10"/>
    <w:rsid w:val="000F312D"/>
    <w:rsid w:val="000F564C"/>
    <w:rsid w:val="001045C5"/>
    <w:rsid w:val="00104C98"/>
    <w:rsid w:val="001058F8"/>
    <w:rsid w:val="001062F6"/>
    <w:rsid w:val="00112010"/>
    <w:rsid w:val="00115A81"/>
    <w:rsid w:val="0012082B"/>
    <w:rsid w:val="00127051"/>
    <w:rsid w:val="001279E8"/>
    <w:rsid w:val="00127BA6"/>
    <w:rsid w:val="0013520F"/>
    <w:rsid w:val="00135355"/>
    <w:rsid w:val="00135727"/>
    <w:rsid w:val="00136490"/>
    <w:rsid w:val="00136A86"/>
    <w:rsid w:val="00136CA6"/>
    <w:rsid w:val="00140438"/>
    <w:rsid w:val="00145BE5"/>
    <w:rsid w:val="00146FD3"/>
    <w:rsid w:val="001516CD"/>
    <w:rsid w:val="00152CCF"/>
    <w:rsid w:val="00157CDD"/>
    <w:rsid w:val="001611D0"/>
    <w:rsid w:val="00162042"/>
    <w:rsid w:val="00162E24"/>
    <w:rsid w:val="00163178"/>
    <w:rsid w:val="001634BD"/>
    <w:rsid w:val="00165292"/>
    <w:rsid w:val="001669F7"/>
    <w:rsid w:val="00167867"/>
    <w:rsid w:val="00167BA8"/>
    <w:rsid w:val="00172AFE"/>
    <w:rsid w:val="0017480D"/>
    <w:rsid w:val="00174ABF"/>
    <w:rsid w:val="00176FA2"/>
    <w:rsid w:val="00180593"/>
    <w:rsid w:val="00181F59"/>
    <w:rsid w:val="0019304B"/>
    <w:rsid w:val="001936E9"/>
    <w:rsid w:val="001963A8"/>
    <w:rsid w:val="001A07F8"/>
    <w:rsid w:val="001A37D3"/>
    <w:rsid w:val="001A5543"/>
    <w:rsid w:val="001A55F0"/>
    <w:rsid w:val="001A6F9A"/>
    <w:rsid w:val="001B0690"/>
    <w:rsid w:val="001B59F4"/>
    <w:rsid w:val="001C0746"/>
    <w:rsid w:val="001C1C53"/>
    <w:rsid w:val="001D472F"/>
    <w:rsid w:val="001D7AE8"/>
    <w:rsid w:val="001E110A"/>
    <w:rsid w:val="001E372E"/>
    <w:rsid w:val="001E4677"/>
    <w:rsid w:val="001E5666"/>
    <w:rsid w:val="001F23AF"/>
    <w:rsid w:val="001F4864"/>
    <w:rsid w:val="00201BC9"/>
    <w:rsid w:val="002070BC"/>
    <w:rsid w:val="002115C7"/>
    <w:rsid w:val="00212BC6"/>
    <w:rsid w:val="00222877"/>
    <w:rsid w:val="002256C1"/>
    <w:rsid w:val="00231CA4"/>
    <w:rsid w:val="00233B85"/>
    <w:rsid w:val="002355CA"/>
    <w:rsid w:val="00235726"/>
    <w:rsid w:val="002379CA"/>
    <w:rsid w:val="00241B4A"/>
    <w:rsid w:val="002427C4"/>
    <w:rsid w:val="00245ACC"/>
    <w:rsid w:val="00250EC5"/>
    <w:rsid w:val="00251430"/>
    <w:rsid w:val="00253C6E"/>
    <w:rsid w:val="00261422"/>
    <w:rsid w:val="002630FB"/>
    <w:rsid w:val="00266412"/>
    <w:rsid w:val="00266B61"/>
    <w:rsid w:val="00270059"/>
    <w:rsid w:val="002810E2"/>
    <w:rsid w:val="0029229F"/>
    <w:rsid w:val="002A16B0"/>
    <w:rsid w:val="002A2D6A"/>
    <w:rsid w:val="002A3CEE"/>
    <w:rsid w:val="002B15E4"/>
    <w:rsid w:val="002B17DD"/>
    <w:rsid w:val="002B1CD3"/>
    <w:rsid w:val="002B1D44"/>
    <w:rsid w:val="002B2262"/>
    <w:rsid w:val="002B40C3"/>
    <w:rsid w:val="002B480E"/>
    <w:rsid w:val="002B666D"/>
    <w:rsid w:val="002B7444"/>
    <w:rsid w:val="002C4D4A"/>
    <w:rsid w:val="002C5C3C"/>
    <w:rsid w:val="002C74DA"/>
    <w:rsid w:val="002D0A51"/>
    <w:rsid w:val="002D13E4"/>
    <w:rsid w:val="002D317F"/>
    <w:rsid w:val="002D350A"/>
    <w:rsid w:val="002D3E1C"/>
    <w:rsid w:val="002E388B"/>
    <w:rsid w:val="002E61C4"/>
    <w:rsid w:val="002E7629"/>
    <w:rsid w:val="002F2EFD"/>
    <w:rsid w:val="002F467E"/>
    <w:rsid w:val="00301084"/>
    <w:rsid w:val="00303147"/>
    <w:rsid w:val="00304819"/>
    <w:rsid w:val="00307582"/>
    <w:rsid w:val="0031323C"/>
    <w:rsid w:val="00314E35"/>
    <w:rsid w:val="00317699"/>
    <w:rsid w:val="003179F7"/>
    <w:rsid w:val="00323236"/>
    <w:rsid w:val="00323B2D"/>
    <w:rsid w:val="003276BF"/>
    <w:rsid w:val="003325AB"/>
    <w:rsid w:val="00336460"/>
    <w:rsid w:val="0034099E"/>
    <w:rsid w:val="0034247B"/>
    <w:rsid w:val="00342F72"/>
    <w:rsid w:val="00356CD2"/>
    <w:rsid w:val="003575E9"/>
    <w:rsid w:val="00357EA3"/>
    <w:rsid w:val="003620F9"/>
    <w:rsid w:val="00366DE7"/>
    <w:rsid w:val="003713F6"/>
    <w:rsid w:val="0037159F"/>
    <w:rsid w:val="00371813"/>
    <w:rsid w:val="00373EA6"/>
    <w:rsid w:val="00381BC6"/>
    <w:rsid w:val="00382664"/>
    <w:rsid w:val="0039347F"/>
    <w:rsid w:val="00397DC3"/>
    <w:rsid w:val="003A2849"/>
    <w:rsid w:val="003A796C"/>
    <w:rsid w:val="003B382F"/>
    <w:rsid w:val="003B5530"/>
    <w:rsid w:val="003B7C71"/>
    <w:rsid w:val="003C2F81"/>
    <w:rsid w:val="003C63D5"/>
    <w:rsid w:val="003C65F6"/>
    <w:rsid w:val="003C6723"/>
    <w:rsid w:val="003C6E66"/>
    <w:rsid w:val="003D1327"/>
    <w:rsid w:val="003D139A"/>
    <w:rsid w:val="003D1FBE"/>
    <w:rsid w:val="003D3835"/>
    <w:rsid w:val="003D7AE6"/>
    <w:rsid w:val="003E01DA"/>
    <w:rsid w:val="003E4DCF"/>
    <w:rsid w:val="003E6E8B"/>
    <w:rsid w:val="003E7B0C"/>
    <w:rsid w:val="003F0327"/>
    <w:rsid w:val="003F0A10"/>
    <w:rsid w:val="003F36A4"/>
    <w:rsid w:val="003F3AFB"/>
    <w:rsid w:val="003F5DB9"/>
    <w:rsid w:val="003F70A9"/>
    <w:rsid w:val="00401CA1"/>
    <w:rsid w:val="00406DAA"/>
    <w:rsid w:val="0041112E"/>
    <w:rsid w:val="00411190"/>
    <w:rsid w:val="00415253"/>
    <w:rsid w:val="004208E7"/>
    <w:rsid w:val="00433FAE"/>
    <w:rsid w:val="00452A8C"/>
    <w:rsid w:val="00452CA9"/>
    <w:rsid w:val="004554D9"/>
    <w:rsid w:val="00462F9F"/>
    <w:rsid w:val="00465ED7"/>
    <w:rsid w:val="0046733D"/>
    <w:rsid w:val="004674EB"/>
    <w:rsid w:val="00467E11"/>
    <w:rsid w:val="0047358F"/>
    <w:rsid w:val="00484726"/>
    <w:rsid w:val="00491318"/>
    <w:rsid w:val="00493C18"/>
    <w:rsid w:val="004A05F3"/>
    <w:rsid w:val="004A7DAD"/>
    <w:rsid w:val="004B04DD"/>
    <w:rsid w:val="004B08AB"/>
    <w:rsid w:val="004B2EBD"/>
    <w:rsid w:val="004B33BE"/>
    <w:rsid w:val="004B39D3"/>
    <w:rsid w:val="004B5445"/>
    <w:rsid w:val="004C0650"/>
    <w:rsid w:val="004C1B8D"/>
    <w:rsid w:val="004C589C"/>
    <w:rsid w:val="004D00CB"/>
    <w:rsid w:val="004D0FF8"/>
    <w:rsid w:val="004D58C0"/>
    <w:rsid w:val="004E096D"/>
    <w:rsid w:val="004E18BA"/>
    <w:rsid w:val="004E28BC"/>
    <w:rsid w:val="004E735C"/>
    <w:rsid w:val="004E7521"/>
    <w:rsid w:val="004F19A8"/>
    <w:rsid w:val="004F2CE0"/>
    <w:rsid w:val="004F3E96"/>
    <w:rsid w:val="005017F4"/>
    <w:rsid w:val="00503D14"/>
    <w:rsid w:val="00505830"/>
    <w:rsid w:val="00510110"/>
    <w:rsid w:val="0051023E"/>
    <w:rsid w:val="0051121F"/>
    <w:rsid w:val="0051202E"/>
    <w:rsid w:val="00512273"/>
    <w:rsid w:val="00514082"/>
    <w:rsid w:val="005146BF"/>
    <w:rsid w:val="00514ED2"/>
    <w:rsid w:val="00521DE5"/>
    <w:rsid w:val="00522C93"/>
    <w:rsid w:val="0052671D"/>
    <w:rsid w:val="00527B89"/>
    <w:rsid w:val="0053178A"/>
    <w:rsid w:val="00534F40"/>
    <w:rsid w:val="0054271A"/>
    <w:rsid w:val="005428DB"/>
    <w:rsid w:val="005505B4"/>
    <w:rsid w:val="005513DA"/>
    <w:rsid w:val="00556D9D"/>
    <w:rsid w:val="00556F44"/>
    <w:rsid w:val="00562C57"/>
    <w:rsid w:val="005751D1"/>
    <w:rsid w:val="00576609"/>
    <w:rsid w:val="0057767E"/>
    <w:rsid w:val="00581101"/>
    <w:rsid w:val="005819A5"/>
    <w:rsid w:val="00581BA1"/>
    <w:rsid w:val="00583173"/>
    <w:rsid w:val="00584314"/>
    <w:rsid w:val="00585305"/>
    <w:rsid w:val="00586353"/>
    <w:rsid w:val="00592C86"/>
    <w:rsid w:val="00595EDA"/>
    <w:rsid w:val="005A0B10"/>
    <w:rsid w:val="005A47CB"/>
    <w:rsid w:val="005A55DB"/>
    <w:rsid w:val="005A7373"/>
    <w:rsid w:val="005B1240"/>
    <w:rsid w:val="005B1302"/>
    <w:rsid w:val="005B3AD1"/>
    <w:rsid w:val="005B556F"/>
    <w:rsid w:val="005B6E5C"/>
    <w:rsid w:val="005C05EA"/>
    <w:rsid w:val="005C308C"/>
    <w:rsid w:val="005C776C"/>
    <w:rsid w:val="005C7FDE"/>
    <w:rsid w:val="005D250F"/>
    <w:rsid w:val="005D4DE2"/>
    <w:rsid w:val="005E1DD4"/>
    <w:rsid w:val="005E45FA"/>
    <w:rsid w:val="005F4FA5"/>
    <w:rsid w:val="005F6DAF"/>
    <w:rsid w:val="005F734A"/>
    <w:rsid w:val="006031D8"/>
    <w:rsid w:val="0060321B"/>
    <w:rsid w:val="00605F23"/>
    <w:rsid w:val="006077BA"/>
    <w:rsid w:val="00613CC2"/>
    <w:rsid w:val="006159DF"/>
    <w:rsid w:val="0062065A"/>
    <w:rsid w:val="006226EB"/>
    <w:rsid w:val="00622781"/>
    <w:rsid w:val="006239BA"/>
    <w:rsid w:val="006267B4"/>
    <w:rsid w:val="006334FE"/>
    <w:rsid w:val="0064633A"/>
    <w:rsid w:val="0065052D"/>
    <w:rsid w:val="0065055D"/>
    <w:rsid w:val="00650CAE"/>
    <w:rsid w:val="00653A98"/>
    <w:rsid w:val="006552EB"/>
    <w:rsid w:val="00660FB1"/>
    <w:rsid w:val="006623BE"/>
    <w:rsid w:val="00665C1A"/>
    <w:rsid w:val="006715E4"/>
    <w:rsid w:val="0067332B"/>
    <w:rsid w:val="0067409F"/>
    <w:rsid w:val="00674C81"/>
    <w:rsid w:val="0068191B"/>
    <w:rsid w:val="00685E7B"/>
    <w:rsid w:val="0069002B"/>
    <w:rsid w:val="00691628"/>
    <w:rsid w:val="00692F52"/>
    <w:rsid w:val="00693961"/>
    <w:rsid w:val="00693C87"/>
    <w:rsid w:val="006963EB"/>
    <w:rsid w:val="006A0DAC"/>
    <w:rsid w:val="006A4B25"/>
    <w:rsid w:val="006A6FC5"/>
    <w:rsid w:val="006B2DA5"/>
    <w:rsid w:val="006B40F2"/>
    <w:rsid w:val="006B5139"/>
    <w:rsid w:val="006C0B81"/>
    <w:rsid w:val="006C4318"/>
    <w:rsid w:val="006C5634"/>
    <w:rsid w:val="006C6B38"/>
    <w:rsid w:val="006D2D70"/>
    <w:rsid w:val="006E08F1"/>
    <w:rsid w:val="006E4FBA"/>
    <w:rsid w:val="006E555B"/>
    <w:rsid w:val="006F32F2"/>
    <w:rsid w:val="006F51C4"/>
    <w:rsid w:val="006F5870"/>
    <w:rsid w:val="006F62EB"/>
    <w:rsid w:val="006F7722"/>
    <w:rsid w:val="006F7B70"/>
    <w:rsid w:val="007004F5"/>
    <w:rsid w:val="00704715"/>
    <w:rsid w:val="00715C6D"/>
    <w:rsid w:val="007203CF"/>
    <w:rsid w:val="00721CA2"/>
    <w:rsid w:val="007225AF"/>
    <w:rsid w:val="0072763B"/>
    <w:rsid w:val="0073258C"/>
    <w:rsid w:val="00733940"/>
    <w:rsid w:val="007402FB"/>
    <w:rsid w:val="00742F3E"/>
    <w:rsid w:val="00751792"/>
    <w:rsid w:val="007517F8"/>
    <w:rsid w:val="00752B0D"/>
    <w:rsid w:val="0075317F"/>
    <w:rsid w:val="0075503A"/>
    <w:rsid w:val="00755C50"/>
    <w:rsid w:val="00757E0E"/>
    <w:rsid w:val="00760783"/>
    <w:rsid w:val="00763029"/>
    <w:rsid w:val="00763333"/>
    <w:rsid w:val="007725DE"/>
    <w:rsid w:val="0077339C"/>
    <w:rsid w:val="007751BA"/>
    <w:rsid w:val="007800A2"/>
    <w:rsid w:val="007817F5"/>
    <w:rsid w:val="00781B5E"/>
    <w:rsid w:val="00784DCF"/>
    <w:rsid w:val="00794D39"/>
    <w:rsid w:val="007A0855"/>
    <w:rsid w:val="007A6F75"/>
    <w:rsid w:val="007A7234"/>
    <w:rsid w:val="007A7669"/>
    <w:rsid w:val="007B2002"/>
    <w:rsid w:val="007B3D2A"/>
    <w:rsid w:val="007B6AFD"/>
    <w:rsid w:val="007B7DCD"/>
    <w:rsid w:val="007C07AC"/>
    <w:rsid w:val="007C2C93"/>
    <w:rsid w:val="007C2E8A"/>
    <w:rsid w:val="007D1837"/>
    <w:rsid w:val="007D1E34"/>
    <w:rsid w:val="007D42FE"/>
    <w:rsid w:val="007D4E21"/>
    <w:rsid w:val="007D7C9B"/>
    <w:rsid w:val="007E1FA1"/>
    <w:rsid w:val="007E4260"/>
    <w:rsid w:val="007E659D"/>
    <w:rsid w:val="007F08FF"/>
    <w:rsid w:val="007F17D2"/>
    <w:rsid w:val="007F1922"/>
    <w:rsid w:val="007F1D21"/>
    <w:rsid w:val="007F2F48"/>
    <w:rsid w:val="00801718"/>
    <w:rsid w:val="00801DC7"/>
    <w:rsid w:val="00804E25"/>
    <w:rsid w:val="008067A6"/>
    <w:rsid w:val="00806C21"/>
    <w:rsid w:val="008103E2"/>
    <w:rsid w:val="00810531"/>
    <w:rsid w:val="008117DC"/>
    <w:rsid w:val="00812687"/>
    <w:rsid w:val="0081463A"/>
    <w:rsid w:val="00817052"/>
    <w:rsid w:val="008170F2"/>
    <w:rsid w:val="00821058"/>
    <w:rsid w:val="008225A9"/>
    <w:rsid w:val="00823A5C"/>
    <w:rsid w:val="008330DE"/>
    <w:rsid w:val="00833C65"/>
    <w:rsid w:val="00834966"/>
    <w:rsid w:val="0083511F"/>
    <w:rsid w:val="008471E3"/>
    <w:rsid w:val="00856826"/>
    <w:rsid w:val="008604AC"/>
    <w:rsid w:val="00861161"/>
    <w:rsid w:val="00863F6D"/>
    <w:rsid w:val="00864372"/>
    <w:rsid w:val="0086584D"/>
    <w:rsid w:val="00867B35"/>
    <w:rsid w:val="008765AD"/>
    <w:rsid w:val="00880254"/>
    <w:rsid w:val="00883276"/>
    <w:rsid w:val="0088402D"/>
    <w:rsid w:val="00887DF2"/>
    <w:rsid w:val="00890709"/>
    <w:rsid w:val="00890BCA"/>
    <w:rsid w:val="00892359"/>
    <w:rsid w:val="0089518D"/>
    <w:rsid w:val="00895843"/>
    <w:rsid w:val="008A2317"/>
    <w:rsid w:val="008A3121"/>
    <w:rsid w:val="008A3890"/>
    <w:rsid w:val="008A4AE0"/>
    <w:rsid w:val="008B0D76"/>
    <w:rsid w:val="008B13FF"/>
    <w:rsid w:val="008B1A13"/>
    <w:rsid w:val="008B279F"/>
    <w:rsid w:val="008B2A25"/>
    <w:rsid w:val="008B2F6D"/>
    <w:rsid w:val="008B50B3"/>
    <w:rsid w:val="008C39C1"/>
    <w:rsid w:val="008C5B28"/>
    <w:rsid w:val="008C76C1"/>
    <w:rsid w:val="008D1C99"/>
    <w:rsid w:val="008D3B08"/>
    <w:rsid w:val="008D71A6"/>
    <w:rsid w:val="008D7C58"/>
    <w:rsid w:val="008E6103"/>
    <w:rsid w:val="008F010E"/>
    <w:rsid w:val="008F08A9"/>
    <w:rsid w:val="008F1C7E"/>
    <w:rsid w:val="008F3132"/>
    <w:rsid w:val="008F31C6"/>
    <w:rsid w:val="008F5875"/>
    <w:rsid w:val="00914EB0"/>
    <w:rsid w:val="009153EE"/>
    <w:rsid w:val="0092166A"/>
    <w:rsid w:val="00922508"/>
    <w:rsid w:val="00924813"/>
    <w:rsid w:val="009270EF"/>
    <w:rsid w:val="009312BD"/>
    <w:rsid w:val="0094082B"/>
    <w:rsid w:val="009424D3"/>
    <w:rsid w:val="00942B7D"/>
    <w:rsid w:val="00942C04"/>
    <w:rsid w:val="00943180"/>
    <w:rsid w:val="00945194"/>
    <w:rsid w:val="00945D07"/>
    <w:rsid w:val="009528DD"/>
    <w:rsid w:val="00955BEF"/>
    <w:rsid w:val="00957FAF"/>
    <w:rsid w:val="00960797"/>
    <w:rsid w:val="009614DF"/>
    <w:rsid w:val="009624D1"/>
    <w:rsid w:val="00962B4B"/>
    <w:rsid w:val="00966465"/>
    <w:rsid w:val="009702A2"/>
    <w:rsid w:val="00986F2F"/>
    <w:rsid w:val="00987F15"/>
    <w:rsid w:val="00994157"/>
    <w:rsid w:val="00995414"/>
    <w:rsid w:val="00997A1D"/>
    <w:rsid w:val="00997CEF"/>
    <w:rsid w:val="009A137A"/>
    <w:rsid w:val="009A18FB"/>
    <w:rsid w:val="009A338D"/>
    <w:rsid w:val="009A4A8F"/>
    <w:rsid w:val="009A6058"/>
    <w:rsid w:val="009B1179"/>
    <w:rsid w:val="009B1745"/>
    <w:rsid w:val="009B25EC"/>
    <w:rsid w:val="009B682C"/>
    <w:rsid w:val="009C4A5F"/>
    <w:rsid w:val="009D0530"/>
    <w:rsid w:val="009D36B1"/>
    <w:rsid w:val="009D3F6B"/>
    <w:rsid w:val="009E16B2"/>
    <w:rsid w:val="009E24AC"/>
    <w:rsid w:val="009E3F52"/>
    <w:rsid w:val="009E649C"/>
    <w:rsid w:val="009F037F"/>
    <w:rsid w:val="009F4E2A"/>
    <w:rsid w:val="009F53A9"/>
    <w:rsid w:val="00A03C12"/>
    <w:rsid w:val="00A05170"/>
    <w:rsid w:val="00A05CED"/>
    <w:rsid w:val="00A14A80"/>
    <w:rsid w:val="00A14D01"/>
    <w:rsid w:val="00A169D3"/>
    <w:rsid w:val="00A16EF9"/>
    <w:rsid w:val="00A17EE3"/>
    <w:rsid w:val="00A206F5"/>
    <w:rsid w:val="00A27C8D"/>
    <w:rsid w:val="00A30E82"/>
    <w:rsid w:val="00A3453B"/>
    <w:rsid w:val="00A35B05"/>
    <w:rsid w:val="00A3731E"/>
    <w:rsid w:val="00A37420"/>
    <w:rsid w:val="00A40F29"/>
    <w:rsid w:val="00A50CAC"/>
    <w:rsid w:val="00A51184"/>
    <w:rsid w:val="00A54224"/>
    <w:rsid w:val="00A6032A"/>
    <w:rsid w:val="00A63149"/>
    <w:rsid w:val="00A71D2F"/>
    <w:rsid w:val="00A7259E"/>
    <w:rsid w:val="00A81A41"/>
    <w:rsid w:val="00A81E44"/>
    <w:rsid w:val="00A82D51"/>
    <w:rsid w:val="00A918C9"/>
    <w:rsid w:val="00A9368D"/>
    <w:rsid w:val="00A93A36"/>
    <w:rsid w:val="00AA66D5"/>
    <w:rsid w:val="00AB16F4"/>
    <w:rsid w:val="00AB27B9"/>
    <w:rsid w:val="00AB3DB4"/>
    <w:rsid w:val="00AC07F4"/>
    <w:rsid w:val="00AC4FC5"/>
    <w:rsid w:val="00AC6E37"/>
    <w:rsid w:val="00AD25C3"/>
    <w:rsid w:val="00AD3233"/>
    <w:rsid w:val="00AD5EEA"/>
    <w:rsid w:val="00AD62BC"/>
    <w:rsid w:val="00AD6FBA"/>
    <w:rsid w:val="00AE0069"/>
    <w:rsid w:val="00AE5150"/>
    <w:rsid w:val="00AE5839"/>
    <w:rsid w:val="00AF2602"/>
    <w:rsid w:val="00AF33EF"/>
    <w:rsid w:val="00AF44E6"/>
    <w:rsid w:val="00AF4ACE"/>
    <w:rsid w:val="00AF564F"/>
    <w:rsid w:val="00AF5F26"/>
    <w:rsid w:val="00AF77B1"/>
    <w:rsid w:val="00B012A5"/>
    <w:rsid w:val="00B0305C"/>
    <w:rsid w:val="00B03B5C"/>
    <w:rsid w:val="00B12659"/>
    <w:rsid w:val="00B12A63"/>
    <w:rsid w:val="00B1540F"/>
    <w:rsid w:val="00B15545"/>
    <w:rsid w:val="00B229E0"/>
    <w:rsid w:val="00B26B73"/>
    <w:rsid w:val="00B33D68"/>
    <w:rsid w:val="00B36D2F"/>
    <w:rsid w:val="00B37566"/>
    <w:rsid w:val="00B41420"/>
    <w:rsid w:val="00B41A5D"/>
    <w:rsid w:val="00B50F0C"/>
    <w:rsid w:val="00B513C2"/>
    <w:rsid w:val="00B51AB7"/>
    <w:rsid w:val="00B522E7"/>
    <w:rsid w:val="00B53C55"/>
    <w:rsid w:val="00B56A02"/>
    <w:rsid w:val="00B56BA5"/>
    <w:rsid w:val="00B5712D"/>
    <w:rsid w:val="00B623A2"/>
    <w:rsid w:val="00B73E83"/>
    <w:rsid w:val="00B75440"/>
    <w:rsid w:val="00B80417"/>
    <w:rsid w:val="00B806AD"/>
    <w:rsid w:val="00B80901"/>
    <w:rsid w:val="00B820E7"/>
    <w:rsid w:val="00B83974"/>
    <w:rsid w:val="00B83B7C"/>
    <w:rsid w:val="00B854DB"/>
    <w:rsid w:val="00B91818"/>
    <w:rsid w:val="00B9191F"/>
    <w:rsid w:val="00B9195D"/>
    <w:rsid w:val="00B954DC"/>
    <w:rsid w:val="00B959A7"/>
    <w:rsid w:val="00B97B9B"/>
    <w:rsid w:val="00BA3006"/>
    <w:rsid w:val="00BA42B0"/>
    <w:rsid w:val="00BA57A9"/>
    <w:rsid w:val="00BA7448"/>
    <w:rsid w:val="00BB64FF"/>
    <w:rsid w:val="00BB6AB7"/>
    <w:rsid w:val="00BB6F45"/>
    <w:rsid w:val="00BC1792"/>
    <w:rsid w:val="00BC406F"/>
    <w:rsid w:val="00BC4A5B"/>
    <w:rsid w:val="00BD0607"/>
    <w:rsid w:val="00BD38FF"/>
    <w:rsid w:val="00BD65B9"/>
    <w:rsid w:val="00BD6C5D"/>
    <w:rsid w:val="00BE09E8"/>
    <w:rsid w:val="00BE1774"/>
    <w:rsid w:val="00BE3130"/>
    <w:rsid w:val="00BE3CDD"/>
    <w:rsid w:val="00BE5931"/>
    <w:rsid w:val="00BE5DCB"/>
    <w:rsid w:val="00BE5FEF"/>
    <w:rsid w:val="00BE6E0D"/>
    <w:rsid w:val="00BF1236"/>
    <w:rsid w:val="00BF32A3"/>
    <w:rsid w:val="00C00616"/>
    <w:rsid w:val="00C02ADC"/>
    <w:rsid w:val="00C02DA1"/>
    <w:rsid w:val="00C04D47"/>
    <w:rsid w:val="00C071D6"/>
    <w:rsid w:val="00C07647"/>
    <w:rsid w:val="00C1290D"/>
    <w:rsid w:val="00C136D0"/>
    <w:rsid w:val="00C151ED"/>
    <w:rsid w:val="00C26AA3"/>
    <w:rsid w:val="00C30007"/>
    <w:rsid w:val="00C3106A"/>
    <w:rsid w:val="00C32A70"/>
    <w:rsid w:val="00C409BC"/>
    <w:rsid w:val="00C429C2"/>
    <w:rsid w:val="00C44E18"/>
    <w:rsid w:val="00C52007"/>
    <w:rsid w:val="00C6593E"/>
    <w:rsid w:val="00C70C12"/>
    <w:rsid w:val="00C71CF1"/>
    <w:rsid w:val="00C72595"/>
    <w:rsid w:val="00C75494"/>
    <w:rsid w:val="00C806D0"/>
    <w:rsid w:val="00C85288"/>
    <w:rsid w:val="00C87045"/>
    <w:rsid w:val="00C871B6"/>
    <w:rsid w:val="00C91802"/>
    <w:rsid w:val="00C92DCE"/>
    <w:rsid w:val="00C94A24"/>
    <w:rsid w:val="00C9536F"/>
    <w:rsid w:val="00C9571D"/>
    <w:rsid w:val="00C96EF6"/>
    <w:rsid w:val="00CA0C35"/>
    <w:rsid w:val="00CA7A6F"/>
    <w:rsid w:val="00CB04BC"/>
    <w:rsid w:val="00CB2F01"/>
    <w:rsid w:val="00CB51EA"/>
    <w:rsid w:val="00CB766C"/>
    <w:rsid w:val="00CC5D18"/>
    <w:rsid w:val="00CD0A96"/>
    <w:rsid w:val="00CD388A"/>
    <w:rsid w:val="00CE03F6"/>
    <w:rsid w:val="00CE18F7"/>
    <w:rsid w:val="00CE22C9"/>
    <w:rsid w:val="00CE5F1E"/>
    <w:rsid w:val="00CE6756"/>
    <w:rsid w:val="00CE735F"/>
    <w:rsid w:val="00CF20F8"/>
    <w:rsid w:val="00CF3AA3"/>
    <w:rsid w:val="00CF3C3A"/>
    <w:rsid w:val="00CF4520"/>
    <w:rsid w:val="00D037C4"/>
    <w:rsid w:val="00D0502A"/>
    <w:rsid w:val="00D05A79"/>
    <w:rsid w:val="00D1537E"/>
    <w:rsid w:val="00D16ACD"/>
    <w:rsid w:val="00D2453C"/>
    <w:rsid w:val="00D26C4A"/>
    <w:rsid w:val="00D27FA8"/>
    <w:rsid w:val="00D33522"/>
    <w:rsid w:val="00D34CDC"/>
    <w:rsid w:val="00D41A86"/>
    <w:rsid w:val="00D42637"/>
    <w:rsid w:val="00D441C6"/>
    <w:rsid w:val="00D4474D"/>
    <w:rsid w:val="00D44A02"/>
    <w:rsid w:val="00D5140E"/>
    <w:rsid w:val="00D57F26"/>
    <w:rsid w:val="00D620E5"/>
    <w:rsid w:val="00D62593"/>
    <w:rsid w:val="00D700DB"/>
    <w:rsid w:val="00D707DD"/>
    <w:rsid w:val="00D7146A"/>
    <w:rsid w:val="00D7426D"/>
    <w:rsid w:val="00D852C6"/>
    <w:rsid w:val="00D905A6"/>
    <w:rsid w:val="00D94024"/>
    <w:rsid w:val="00D9447F"/>
    <w:rsid w:val="00D97ACF"/>
    <w:rsid w:val="00DA14ED"/>
    <w:rsid w:val="00DA73DF"/>
    <w:rsid w:val="00DB0557"/>
    <w:rsid w:val="00DB22BF"/>
    <w:rsid w:val="00DB4018"/>
    <w:rsid w:val="00DB7548"/>
    <w:rsid w:val="00DC3567"/>
    <w:rsid w:val="00DC7233"/>
    <w:rsid w:val="00DD26D9"/>
    <w:rsid w:val="00DD2F56"/>
    <w:rsid w:val="00DD3BD9"/>
    <w:rsid w:val="00DD4D27"/>
    <w:rsid w:val="00DD571F"/>
    <w:rsid w:val="00DD73E6"/>
    <w:rsid w:val="00DE1597"/>
    <w:rsid w:val="00DE5226"/>
    <w:rsid w:val="00DF00AB"/>
    <w:rsid w:val="00DF21EF"/>
    <w:rsid w:val="00DF2426"/>
    <w:rsid w:val="00DF2E12"/>
    <w:rsid w:val="00DF4778"/>
    <w:rsid w:val="00DF7EF1"/>
    <w:rsid w:val="00E020B1"/>
    <w:rsid w:val="00E02318"/>
    <w:rsid w:val="00E04BBA"/>
    <w:rsid w:val="00E06F62"/>
    <w:rsid w:val="00E14646"/>
    <w:rsid w:val="00E16CBA"/>
    <w:rsid w:val="00E23531"/>
    <w:rsid w:val="00E26015"/>
    <w:rsid w:val="00E26DF3"/>
    <w:rsid w:val="00E27B5F"/>
    <w:rsid w:val="00E313DB"/>
    <w:rsid w:val="00E318B0"/>
    <w:rsid w:val="00E31D1D"/>
    <w:rsid w:val="00E320EE"/>
    <w:rsid w:val="00E3273F"/>
    <w:rsid w:val="00E36BC5"/>
    <w:rsid w:val="00E36D18"/>
    <w:rsid w:val="00E43525"/>
    <w:rsid w:val="00E5040E"/>
    <w:rsid w:val="00E52F6D"/>
    <w:rsid w:val="00E54203"/>
    <w:rsid w:val="00E6141A"/>
    <w:rsid w:val="00E6623C"/>
    <w:rsid w:val="00E72E79"/>
    <w:rsid w:val="00E84A8D"/>
    <w:rsid w:val="00E911CB"/>
    <w:rsid w:val="00E91939"/>
    <w:rsid w:val="00E95084"/>
    <w:rsid w:val="00EA2A9C"/>
    <w:rsid w:val="00EA425E"/>
    <w:rsid w:val="00EA4A78"/>
    <w:rsid w:val="00EB075C"/>
    <w:rsid w:val="00EB2425"/>
    <w:rsid w:val="00EB5E82"/>
    <w:rsid w:val="00EC0B4C"/>
    <w:rsid w:val="00EC606B"/>
    <w:rsid w:val="00EC7D5E"/>
    <w:rsid w:val="00ED0A00"/>
    <w:rsid w:val="00ED2FB4"/>
    <w:rsid w:val="00EE177C"/>
    <w:rsid w:val="00EE300F"/>
    <w:rsid w:val="00EE446C"/>
    <w:rsid w:val="00EE51FD"/>
    <w:rsid w:val="00EE549C"/>
    <w:rsid w:val="00EF4AD4"/>
    <w:rsid w:val="00EF5A74"/>
    <w:rsid w:val="00EF6E24"/>
    <w:rsid w:val="00EF7333"/>
    <w:rsid w:val="00F1306D"/>
    <w:rsid w:val="00F130EB"/>
    <w:rsid w:val="00F141F6"/>
    <w:rsid w:val="00F16D8A"/>
    <w:rsid w:val="00F23A82"/>
    <w:rsid w:val="00F262D5"/>
    <w:rsid w:val="00F30235"/>
    <w:rsid w:val="00F30298"/>
    <w:rsid w:val="00F312B5"/>
    <w:rsid w:val="00F31B29"/>
    <w:rsid w:val="00F330D1"/>
    <w:rsid w:val="00F3430E"/>
    <w:rsid w:val="00F356EF"/>
    <w:rsid w:val="00F423EA"/>
    <w:rsid w:val="00F43269"/>
    <w:rsid w:val="00F442C6"/>
    <w:rsid w:val="00F46F0F"/>
    <w:rsid w:val="00F47068"/>
    <w:rsid w:val="00F57609"/>
    <w:rsid w:val="00F63105"/>
    <w:rsid w:val="00F66261"/>
    <w:rsid w:val="00F70DC4"/>
    <w:rsid w:val="00F70F4E"/>
    <w:rsid w:val="00F74EE3"/>
    <w:rsid w:val="00F74F73"/>
    <w:rsid w:val="00F76E9D"/>
    <w:rsid w:val="00F80404"/>
    <w:rsid w:val="00F80819"/>
    <w:rsid w:val="00F84003"/>
    <w:rsid w:val="00F91521"/>
    <w:rsid w:val="00F94F39"/>
    <w:rsid w:val="00F97B28"/>
    <w:rsid w:val="00F97FE3"/>
    <w:rsid w:val="00FA1691"/>
    <w:rsid w:val="00FA3E7D"/>
    <w:rsid w:val="00FA7FE3"/>
    <w:rsid w:val="00FB1F77"/>
    <w:rsid w:val="00FB2FB1"/>
    <w:rsid w:val="00FB5EC5"/>
    <w:rsid w:val="00FC2185"/>
    <w:rsid w:val="00FC4379"/>
    <w:rsid w:val="00FC5104"/>
    <w:rsid w:val="00FD417D"/>
    <w:rsid w:val="00FE19A1"/>
    <w:rsid w:val="00FE2BDD"/>
    <w:rsid w:val="00FE66B7"/>
    <w:rsid w:val="00FE6E9A"/>
    <w:rsid w:val="00FE7EE7"/>
    <w:rsid w:val="00FF2BCB"/>
    <w:rsid w:val="00FF531F"/>
    <w:rsid w:val="00FF5EF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lang w:val="en-GB" w:eastAsia="ar-SA"/>
    </w:rPr>
  </w:style>
  <w:style w:type="paragraph" w:styleId="Heading3">
    <w:name w:val="heading 3"/>
    <w:basedOn w:val="Normal"/>
    <w:next w:val="BodyText"/>
    <w:link w:val="Heading3Char"/>
    <w:uiPriority w:val="99"/>
    <w:qFormat/>
    <w:rsid w:val="002A2D6A"/>
    <w:pPr>
      <w:numPr>
        <w:ilvl w:val="2"/>
        <w:numId w:val="1"/>
      </w:numPr>
      <w:spacing w:before="280" w:after="280" w:line="330" w:lineRule="atLeast"/>
      <w:outlineLvl w:val="2"/>
    </w:pPr>
    <w:rPr>
      <w:rFonts w:ascii="ITCLegacySansLTBookRegular" w:eastAsia="PMingLiU" w:hAnsi="ITCLegacySansLTBookRegular"/>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C409BC"/>
    <w:rPr>
      <w:rFonts w:ascii="Cambria" w:hAnsi="Cambria" w:cs="Times New Roman"/>
      <w:b/>
      <w:bCs/>
      <w:sz w:val="26"/>
      <w:szCs w:val="26"/>
      <w:lang w:val="en-GB" w:eastAsia="ar-SA" w:bidi="ar-SA"/>
    </w:rPr>
  </w:style>
  <w:style w:type="character" w:customStyle="1" w:styleId="WW8Num1z0">
    <w:name w:val="WW8Num1z0"/>
    <w:uiPriority w:val="99"/>
    <w:rsid w:val="002A2D6A"/>
    <w:rPr>
      <w:rFonts w:ascii="Times New Roman" w:eastAsia="MS Mincho" w:hAnsi="Times New Roman"/>
    </w:rPr>
  </w:style>
  <w:style w:type="character" w:customStyle="1" w:styleId="WW8Num1z1">
    <w:name w:val="WW8Num1z1"/>
    <w:uiPriority w:val="99"/>
    <w:rsid w:val="002A2D6A"/>
    <w:rPr>
      <w:rFonts w:ascii="Courier New" w:hAnsi="Courier New"/>
    </w:rPr>
  </w:style>
  <w:style w:type="character" w:customStyle="1" w:styleId="WW8Num1z2">
    <w:name w:val="WW8Num1z2"/>
    <w:uiPriority w:val="99"/>
    <w:rsid w:val="002A2D6A"/>
    <w:rPr>
      <w:rFonts w:ascii="Wingdings" w:hAnsi="Wingdings"/>
    </w:rPr>
  </w:style>
  <w:style w:type="character" w:customStyle="1" w:styleId="WW8Num1z3">
    <w:name w:val="WW8Num1z3"/>
    <w:uiPriority w:val="99"/>
    <w:rsid w:val="002A2D6A"/>
    <w:rPr>
      <w:rFonts w:ascii="Symbol" w:hAnsi="Symbol"/>
    </w:rPr>
  </w:style>
  <w:style w:type="character" w:customStyle="1" w:styleId="WW8Num2z0">
    <w:name w:val="WW8Num2z0"/>
    <w:uiPriority w:val="99"/>
    <w:rsid w:val="002A2D6A"/>
    <w:rPr>
      <w:rFonts w:ascii="Symbol" w:hAnsi="Symbol"/>
      <w:color w:val="000080"/>
    </w:rPr>
  </w:style>
  <w:style w:type="character" w:customStyle="1" w:styleId="WW8Num2z1">
    <w:name w:val="WW8Num2z1"/>
    <w:uiPriority w:val="99"/>
    <w:rsid w:val="002A2D6A"/>
    <w:rPr>
      <w:rFonts w:ascii="Wingdings" w:hAnsi="Wingdings"/>
      <w:color w:val="000080"/>
    </w:rPr>
  </w:style>
  <w:style w:type="character" w:customStyle="1" w:styleId="WW8Num2z2">
    <w:name w:val="WW8Num2z2"/>
    <w:uiPriority w:val="99"/>
    <w:rsid w:val="002A2D6A"/>
    <w:rPr>
      <w:rFonts w:ascii="Arial" w:eastAsia="MS Mincho" w:hAnsi="Arial"/>
    </w:rPr>
  </w:style>
  <w:style w:type="character" w:customStyle="1" w:styleId="WW8Num2z3">
    <w:name w:val="WW8Num2z3"/>
    <w:uiPriority w:val="99"/>
    <w:rsid w:val="002A2D6A"/>
    <w:rPr>
      <w:rFonts w:ascii="Symbol" w:hAnsi="Symbol"/>
    </w:rPr>
  </w:style>
  <w:style w:type="character" w:customStyle="1" w:styleId="WW8Num2z4">
    <w:name w:val="WW8Num2z4"/>
    <w:uiPriority w:val="99"/>
    <w:rsid w:val="002A2D6A"/>
    <w:rPr>
      <w:rFonts w:ascii="Courier New" w:hAnsi="Courier New"/>
    </w:rPr>
  </w:style>
  <w:style w:type="character" w:customStyle="1" w:styleId="WW8Num2z5">
    <w:name w:val="WW8Num2z5"/>
    <w:uiPriority w:val="99"/>
    <w:rsid w:val="002A2D6A"/>
    <w:rPr>
      <w:rFonts w:ascii="Wingdings" w:hAnsi="Wingdings"/>
    </w:rPr>
  </w:style>
  <w:style w:type="character" w:customStyle="1" w:styleId="WW8Num3z0">
    <w:name w:val="WW8Num3z0"/>
    <w:uiPriority w:val="99"/>
    <w:rsid w:val="002A2D6A"/>
    <w:rPr>
      <w:rFonts w:ascii="Symbol" w:hAnsi="Symbol"/>
    </w:rPr>
  </w:style>
  <w:style w:type="character" w:customStyle="1" w:styleId="WW8Num3z1">
    <w:name w:val="WW8Num3z1"/>
    <w:uiPriority w:val="99"/>
    <w:rsid w:val="002A2D6A"/>
    <w:rPr>
      <w:rFonts w:ascii="Courier New" w:hAnsi="Courier New"/>
    </w:rPr>
  </w:style>
  <w:style w:type="character" w:customStyle="1" w:styleId="WW8Num3z2">
    <w:name w:val="WW8Num3z2"/>
    <w:uiPriority w:val="99"/>
    <w:rsid w:val="002A2D6A"/>
    <w:rPr>
      <w:rFonts w:ascii="Wingdings" w:hAnsi="Wingdings"/>
    </w:rPr>
  </w:style>
  <w:style w:type="character" w:customStyle="1" w:styleId="WW8Num4z0">
    <w:name w:val="WW8Num4z0"/>
    <w:uiPriority w:val="99"/>
    <w:rsid w:val="002A2D6A"/>
    <w:rPr>
      <w:rFonts w:ascii="Symbol" w:hAnsi="Symbol"/>
      <w:color w:val="000080"/>
    </w:rPr>
  </w:style>
  <w:style w:type="character" w:customStyle="1" w:styleId="WW8Num4z1">
    <w:name w:val="WW8Num4z1"/>
    <w:uiPriority w:val="99"/>
    <w:rsid w:val="002A2D6A"/>
    <w:rPr>
      <w:rFonts w:ascii="Courier New" w:hAnsi="Courier New"/>
      <w:color w:val="000080"/>
    </w:rPr>
  </w:style>
  <w:style w:type="character" w:customStyle="1" w:styleId="WW8Num4z2">
    <w:name w:val="WW8Num4z2"/>
    <w:uiPriority w:val="99"/>
    <w:rsid w:val="002A2D6A"/>
    <w:rPr>
      <w:rFonts w:ascii="Arial" w:eastAsia="MS Mincho" w:hAnsi="Arial"/>
    </w:rPr>
  </w:style>
  <w:style w:type="character" w:customStyle="1" w:styleId="WW8Num4z3">
    <w:name w:val="WW8Num4z3"/>
    <w:uiPriority w:val="99"/>
    <w:rsid w:val="002A2D6A"/>
    <w:rPr>
      <w:rFonts w:ascii="Symbol" w:hAnsi="Symbol"/>
    </w:rPr>
  </w:style>
  <w:style w:type="character" w:customStyle="1" w:styleId="WW8Num4z4">
    <w:name w:val="WW8Num4z4"/>
    <w:uiPriority w:val="99"/>
    <w:rsid w:val="002A2D6A"/>
    <w:rPr>
      <w:rFonts w:ascii="Courier New" w:hAnsi="Courier New"/>
    </w:rPr>
  </w:style>
  <w:style w:type="character" w:customStyle="1" w:styleId="WW8Num4z5">
    <w:name w:val="WW8Num4z5"/>
    <w:uiPriority w:val="99"/>
    <w:rsid w:val="002A2D6A"/>
    <w:rPr>
      <w:rFonts w:ascii="Wingdings" w:hAnsi="Wingdings"/>
    </w:rPr>
  </w:style>
  <w:style w:type="character" w:customStyle="1" w:styleId="WW8Num5z0">
    <w:name w:val="WW8Num5z0"/>
    <w:uiPriority w:val="99"/>
    <w:rsid w:val="002A2D6A"/>
    <w:rPr>
      <w:rFonts w:ascii="Symbol" w:hAnsi="Symbol"/>
      <w:color w:val="auto"/>
      <w:w w:val="100"/>
    </w:rPr>
  </w:style>
  <w:style w:type="character" w:customStyle="1" w:styleId="WW8Num5z1">
    <w:name w:val="WW8Num5z1"/>
    <w:uiPriority w:val="99"/>
    <w:rsid w:val="002A2D6A"/>
    <w:rPr>
      <w:rFonts w:ascii="Courier New" w:hAnsi="Courier New"/>
    </w:rPr>
  </w:style>
  <w:style w:type="character" w:customStyle="1" w:styleId="WW8Num5z2">
    <w:name w:val="WW8Num5z2"/>
    <w:uiPriority w:val="99"/>
    <w:rsid w:val="002A2D6A"/>
    <w:rPr>
      <w:rFonts w:ascii="Wingdings" w:hAnsi="Wingdings"/>
    </w:rPr>
  </w:style>
  <w:style w:type="character" w:customStyle="1" w:styleId="WW8Num5z3">
    <w:name w:val="WW8Num5z3"/>
    <w:uiPriority w:val="99"/>
    <w:rsid w:val="002A2D6A"/>
    <w:rPr>
      <w:rFonts w:ascii="Symbol" w:hAnsi="Symbol"/>
    </w:rPr>
  </w:style>
  <w:style w:type="character" w:customStyle="1" w:styleId="WW8Num6z0">
    <w:name w:val="WW8Num6z0"/>
    <w:uiPriority w:val="99"/>
    <w:rsid w:val="002A2D6A"/>
    <w:rPr>
      <w:rFonts w:ascii="Symbol" w:hAnsi="Symbol"/>
      <w:color w:val="auto"/>
      <w:w w:val="100"/>
    </w:rPr>
  </w:style>
  <w:style w:type="character" w:customStyle="1" w:styleId="WW8Num6z1">
    <w:name w:val="WW8Num6z1"/>
    <w:uiPriority w:val="99"/>
    <w:rsid w:val="002A2D6A"/>
    <w:rPr>
      <w:rFonts w:ascii="Courier New" w:hAnsi="Courier New"/>
    </w:rPr>
  </w:style>
  <w:style w:type="character" w:customStyle="1" w:styleId="WW8Num6z2">
    <w:name w:val="WW8Num6z2"/>
    <w:uiPriority w:val="99"/>
    <w:rsid w:val="002A2D6A"/>
    <w:rPr>
      <w:rFonts w:ascii="Wingdings" w:hAnsi="Wingdings"/>
    </w:rPr>
  </w:style>
  <w:style w:type="character" w:customStyle="1" w:styleId="WW8Num6z3">
    <w:name w:val="WW8Num6z3"/>
    <w:uiPriority w:val="99"/>
    <w:rsid w:val="002A2D6A"/>
    <w:rPr>
      <w:rFonts w:ascii="Symbol" w:hAnsi="Symbol"/>
    </w:rPr>
  </w:style>
  <w:style w:type="character" w:customStyle="1" w:styleId="WW8Num7z0">
    <w:name w:val="WW8Num7z0"/>
    <w:uiPriority w:val="99"/>
    <w:rsid w:val="002A2D6A"/>
    <w:rPr>
      <w:rFonts w:ascii="Symbol" w:hAnsi="Symbol"/>
      <w:color w:val="000080"/>
    </w:rPr>
  </w:style>
  <w:style w:type="character" w:customStyle="1" w:styleId="WW8Num7z1">
    <w:name w:val="WW8Num7z1"/>
    <w:uiPriority w:val="99"/>
    <w:rsid w:val="002A2D6A"/>
    <w:rPr>
      <w:rFonts w:ascii="Wingdings" w:hAnsi="Wingdings"/>
      <w:color w:val="000080"/>
    </w:rPr>
  </w:style>
  <w:style w:type="character" w:customStyle="1" w:styleId="WW8Num7z2">
    <w:name w:val="WW8Num7z2"/>
    <w:uiPriority w:val="99"/>
    <w:rsid w:val="002A2D6A"/>
    <w:rPr>
      <w:rFonts w:ascii="Arial" w:eastAsia="MS Mincho" w:hAnsi="Arial"/>
    </w:rPr>
  </w:style>
  <w:style w:type="character" w:customStyle="1" w:styleId="WW8Num7z3">
    <w:name w:val="WW8Num7z3"/>
    <w:uiPriority w:val="99"/>
    <w:rsid w:val="002A2D6A"/>
    <w:rPr>
      <w:rFonts w:ascii="Symbol" w:hAnsi="Symbol"/>
    </w:rPr>
  </w:style>
  <w:style w:type="character" w:customStyle="1" w:styleId="WW8Num7z4">
    <w:name w:val="WW8Num7z4"/>
    <w:uiPriority w:val="99"/>
    <w:rsid w:val="002A2D6A"/>
    <w:rPr>
      <w:rFonts w:ascii="Courier New" w:hAnsi="Courier New"/>
    </w:rPr>
  </w:style>
  <w:style w:type="character" w:customStyle="1" w:styleId="WW8Num7z5">
    <w:name w:val="WW8Num7z5"/>
    <w:uiPriority w:val="99"/>
    <w:rsid w:val="002A2D6A"/>
    <w:rPr>
      <w:rFonts w:ascii="Wingdings" w:hAnsi="Wingdings"/>
    </w:rPr>
  </w:style>
  <w:style w:type="character" w:customStyle="1" w:styleId="WW8Num8z0">
    <w:name w:val="WW8Num8z0"/>
    <w:uiPriority w:val="99"/>
    <w:rsid w:val="002A2D6A"/>
    <w:rPr>
      <w:rFonts w:ascii="Symbol" w:hAnsi="Symbol"/>
    </w:rPr>
  </w:style>
  <w:style w:type="character" w:customStyle="1" w:styleId="WW8Num8z1">
    <w:name w:val="WW8Num8z1"/>
    <w:uiPriority w:val="99"/>
    <w:rsid w:val="002A2D6A"/>
    <w:rPr>
      <w:rFonts w:ascii="Courier New" w:hAnsi="Courier New"/>
    </w:rPr>
  </w:style>
  <w:style w:type="character" w:customStyle="1" w:styleId="WW8Num8z2">
    <w:name w:val="WW8Num8z2"/>
    <w:uiPriority w:val="99"/>
    <w:rsid w:val="002A2D6A"/>
    <w:rPr>
      <w:rFonts w:ascii="Wingdings" w:hAnsi="Wingdings"/>
    </w:rPr>
  </w:style>
  <w:style w:type="character" w:customStyle="1" w:styleId="WW8Num9z0">
    <w:name w:val="WW8Num9z0"/>
    <w:uiPriority w:val="99"/>
    <w:rsid w:val="002A2D6A"/>
    <w:rPr>
      <w:rFonts w:ascii="Symbol" w:hAnsi="Symbol"/>
      <w:color w:val="000080"/>
    </w:rPr>
  </w:style>
  <w:style w:type="character" w:customStyle="1" w:styleId="WW8Num9z1">
    <w:name w:val="WW8Num9z1"/>
    <w:uiPriority w:val="99"/>
    <w:rsid w:val="002A2D6A"/>
    <w:rPr>
      <w:rFonts w:ascii="Wingdings" w:hAnsi="Wingdings"/>
      <w:color w:val="auto"/>
    </w:rPr>
  </w:style>
  <w:style w:type="character" w:customStyle="1" w:styleId="WW8Num9z2">
    <w:name w:val="WW8Num9z2"/>
    <w:uiPriority w:val="99"/>
    <w:rsid w:val="002A2D6A"/>
    <w:rPr>
      <w:rFonts w:ascii="Arial" w:eastAsia="MS Mincho" w:hAnsi="Arial"/>
    </w:rPr>
  </w:style>
  <w:style w:type="character" w:customStyle="1" w:styleId="WW8Num9z3">
    <w:name w:val="WW8Num9z3"/>
    <w:uiPriority w:val="99"/>
    <w:rsid w:val="002A2D6A"/>
    <w:rPr>
      <w:rFonts w:ascii="Symbol" w:hAnsi="Symbol"/>
    </w:rPr>
  </w:style>
  <w:style w:type="character" w:customStyle="1" w:styleId="WW8Num9z4">
    <w:name w:val="WW8Num9z4"/>
    <w:uiPriority w:val="99"/>
    <w:rsid w:val="002A2D6A"/>
    <w:rPr>
      <w:rFonts w:ascii="Courier New" w:hAnsi="Courier New"/>
    </w:rPr>
  </w:style>
  <w:style w:type="character" w:customStyle="1" w:styleId="WW8Num9z5">
    <w:name w:val="WW8Num9z5"/>
    <w:uiPriority w:val="99"/>
    <w:rsid w:val="002A2D6A"/>
    <w:rPr>
      <w:rFonts w:ascii="Wingdings" w:hAnsi="Wingdings"/>
    </w:rPr>
  </w:style>
  <w:style w:type="character" w:customStyle="1" w:styleId="WW8Num11z0">
    <w:name w:val="WW8Num11z0"/>
    <w:uiPriority w:val="99"/>
    <w:rsid w:val="002A2D6A"/>
    <w:rPr>
      <w:rFonts w:ascii="Symbol" w:hAnsi="Symbol"/>
      <w:color w:val="000080"/>
    </w:rPr>
  </w:style>
  <w:style w:type="character" w:customStyle="1" w:styleId="WW8Num11z1">
    <w:name w:val="WW8Num11z1"/>
    <w:uiPriority w:val="99"/>
    <w:rsid w:val="002A2D6A"/>
    <w:rPr>
      <w:rFonts w:ascii="Courier New" w:hAnsi="Courier New"/>
      <w:color w:val="000080"/>
    </w:rPr>
  </w:style>
  <w:style w:type="character" w:customStyle="1" w:styleId="WW8Num11z2">
    <w:name w:val="WW8Num11z2"/>
    <w:uiPriority w:val="99"/>
    <w:rsid w:val="002A2D6A"/>
    <w:rPr>
      <w:rFonts w:ascii="Arial" w:eastAsia="MS Mincho" w:hAnsi="Arial"/>
    </w:rPr>
  </w:style>
  <w:style w:type="character" w:customStyle="1" w:styleId="WW8Num11z3">
    <w:name w:val="WW8Num11z3"/>
    <w:uiPriority w:val="99"/>
    <w:rsid w:val="002A2D6A"/>
    <w:rPr>
      <w:rFonts w:ascii="Symbol" w:hAnsi="Symbol"/>
    </w:rPr>
  </w:style>
  <w:style w:type="character" w:customStyle="1" w:styleId="WW8Num11z4">
    <w:name w:val="WW8Num11z4"/>
    <w:uiPriority w:val="99"/>
    <w:rsid w:val="002A2D6A"/>
    <w:rPr>
      <w:rFonts w:ascii="Courier New" w:hAnsi="Courier New"/>
    </w:rPr>
  </w:style>
  <w:style w:type="character" w:customStyle="1" w:styleId="WW8Num11z5">
    <w:name w:val="WW8Num11z5"/>
    <w:uiPriority w:val="99"/>
    <w:rsid w:val="002A2D6A"/>
    <w:rPr>
      <w:rFonts w:ascii="Wingdings" w:hAnsi="Wingdings"/>
    </w:rPr>
  </w:style>
  <w:style w:type="character" w:customStyle="1" w:styleId="WW8Num12z0">
    <w:name w:val="WW8Num12z0"/>
    <w:uiPriority w:val="99"/>
    <w:rsid w:val="002A2D6A"/>
    <w:rPr>
      <w:rFonts w:ascii="Symbol" w:hAnsi="Symbol"/>
      <w:color w:val="auto"/>
      <w:w w:val="100"/>
    </w:rPr>
  </w:style>
  <w:style w:type="character" w:customStyle="1" w:styleId="WW8Num12z1">
    <w:name w:val="WW8Num12z1"/>
    <w:uiPriority w:val="99"/>
    <w:rsid w:val="002A2D6A"/>
    <w:rPr>
      <w:rFonts w:ascii="Courier New" w:hAnsi="Courier New"/>
    </w:rPr>
  </w:style>
  <w:style w:type="character" w:customStyle="1" w:styleId="WW8Num12z2">
    <w:name w:val="WW8Num12z2"/>
    <w:uiPriority w:val="99"/>
    <w:rsid w:val="002A2D6A"/>
    <w:rPr>
      <w:rFonts w:ascii="Wingdings" w:hAnsi="Wingdings"/>
    </w:rPr>
  </w:style>
  <w:style w:type="character" w:customStyle="1" w:styleId="WW8Num12z3">
    <w:name w:val="WW8Num12z3"/>
    <w:uiPriority w:val="99"/>
    <w:rsid w:val="002A2D6A"/>
    <w:rPr>
      <w:rFonts w:ascii="Symbol" w:hAnsi="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rPr>
      <w:rFonts w:cs="Times New Roman"/>
    </w:rPr>
  </w:style>
  <w:style w:type="character" w:customStyle="1" w:styleId="CarCar1">
    <w:name w:val="Car Car1"/>
    <w:basedOn w:val="Policepardfaut1"/>
    <w:uiPriority w:val="99"/>
    <w:rsid w:val="002A2D6A"/>
    <w:rPr>
      <w:rFonts w:cs="Times New Roman"/>
    </w:rPr>
  </w:style>
  <w:style w:type="character" w:customStyle="1" w:styleId="CarCar">
    <w:name w:val="Car Car"/>
    <w:uiPriority w:val="99"/>
    <w:rsid w:val="002A2D6A"/>
    <w:rPr>
      <w:rFonts w:ascii="Lucida Grande" w:hAnsi="Lucida Grande"/>
      <w:sz w:val="18"/>
    </w:rPr>
  </w:style>
  <w:style w:type="character" w:styleId="Hyperlink">
    <w:name w:val="Hyperlink"/>
    <w:basedOn w:val="DefaultParagraphFont"/>
    <w:rsid w:val="002A2D6A"/>
    <w:rPr>
      <w:rFonts w:cs="Times New Roman"/>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rPr>
      <w:rFonts w:cs="Times New Roman"/>
    </w:rPr>
  </w:style>
  <w:style w:type="character" w:styleId="PageNumber">
    <w:name w:val="page number"/>
    <w:basedOn w:val="Policepardfaut1"/>
    <w:uiPriority w:val="99"/>
    <w:rsid w:val="002A2D6A"/>
    <w:rPr>
      <w:rFonts w:cs="Times New Roman"/>
    </w:rPr>
  </w:style>
  <w:style w:type="paragraph" w:customStyle="1" w:styleId="Titre1">
    <w:name w:val="Titre1"/>
    <w:basedOn w:val="Normal"/>
    <w:next w:val="BodyText"/>
    <w:uiPriority w:val="99"/>
    <w:rsid w:val="002A2D6A"/>
    <w:pPr>
      <w:keepNext/>
      <w:spacing w:before="240" w:after="120"/>
    </w:pPr>
    <w:rPr>
      <w:rFonts w:ascii="Arial" w:eastAsia="PMingLiU" w:hAnsi="Arial" w:cs="Tahoma"/>
      <w:sz w:val="28"/>
      <w:szCs w:val="28"/>
    </w:rPr>
  </w:style>
  <w:style w:type="paragraph" w:styleId="BodyText">
    <w:name w:val="Body Text"/>
    <w:basedOn w:val="Normal"/>
    <w:link w:val="BodyTextChar"/>
    <w:uiPriority w:val="99"/>
    <w:rsid w:val="002A2D6A"/>
    <w:pPr>
      <w:spacing w:after="120"/>
    </w:pPr>
  </w:style>
  <w:style w:type="character" w:customStyle="1" w:styleId="BodyTextChar">
    <w:name w:val="Body Text Char"/>
    <w:basedOn w:val="DefaultParagraphFont"/>
    <w:link w:val="BodyText"/>
    <w:uiPriority w:val="99"/>
    <w:semiHidden/>
    <w:rsid w:val="00C409BC"/>
    <w:rPr>
      <w:rFonts w:ascii="Cambria" w:eastAsia="MS Mincho" w:hAnsi="Cambria" w:cs="Cambria"/>
      <w:sz w:val="24"/>
      <w:szCs w:val="24"/>
      <w:lang w:val="en-GB" w:eastAsia="ar-SA" w:bidi="ar-SA"/>
    </w:rPr>
  </w:style>
  <w:style w:type="paragraph" w:styleId="List">
    <w:name w:val="List"/>
    <w:basedOn w:val="BodyText"/>
    <w:uiPriority w:val="99"/>
    <w:rsid w:val="002A2D6A"/>
    <w:rPr>
      <w:rFonts w:cs="Tahoma"/>
    </w:rPr>
  </w:style>
  <w:style w:type="paragraph" w:customStyle="1" w:styleId="Lgende1">
    <w:name w:val="Légende1"/>
    <w:basedOn w:val="Normal"/>
    <w:uiPriority w:val="99"/>
    <w:rsid w:val="002A2D6A"/>
    <w:pPr>
      <w:suppressLineNumbers/>
      <w:spacing w:before="120" w:after="120"/>
    </w:pPr>
    <w:rPr>
      <w:rFonts w:cs="Tahoma"/>
      <w:i/>
      <w:iCs/>
    </w:rPr>
  </w:style>
  <w:style w:type="paragraph" w:customStyle="1" w:styleId="Rpertoire">
    <w:name w:val="Répertoire"/>
    <w:basedOn w:val="Normal"/>
    <w:uiPriority w:val="99"/>
    <w:rsid w:val="002A2D6A"/>
    <w:pPr>
      <w:suppressLineNumbers/>
    </w:pPr>
    <w:rPr>
      <w:rFonts w:cs="Tahoma"/>
    </w:rPr>
  </w:style>
  <w:style w:type="paragraph" w:styleId="Header">
    <w:name w:val="header"/>
    <w:basedOn w:val="Normal"/>
    <w:link w:val="HeaderChar"/>
    <w:uiPriority w:val="99"/>
    <w:rsid w:val="002A2D6A"/>
  </w:style>
  <w:style w:type="character" w:customStyle="1" w:styleId="HeaderChar">
    <w:name w:val="Header Char"/>
    <w:basedOn w:val="DefaultParagraphFont"/>
    <w:link w:val="Header"/>
    <w:uiPriority w:val="99"/>
    <w:semiHidden/>
    <w:rsid w:val="00C409BC"/>
    <w:rPr>
      <w:rFonts w:ascii="Cambria" w:eastAsia="MS Mincho" w:hAnsi="Cambria" w:cs="Cambria"/>
      <w:sz w:val="24"/>
      <w:szCs w:val="24"/>
      <w:lang w:val="en-GB" w:eastAsia="ar-SA" w:bidi="ar-SA"/>
    </w:rPr>
  </w:style>
  <w:style w:type="paragraph" w:styleId="Footer">
    <w:name w:val="footer"/>
    <w:basedOn w:val="Normal"/>
    <w:link w:val="FooterChar"/>
    <w:uiPriority w:val="99"/>
    <w:rsid w:val="002A2D6A"/>
    <w:rPr>
      <w:rFonts w:cs="Times New Roman"/>
      <w:lang w:val="fr-FR"/>
    </w:rPr>
  </w:style>
  <w:style w:type="character" w:customStyle="1" w:styleId="FooterChar">
    <w:name w:val="Footer Char"/>
    <w:basedOn w:val="DefaultParagraphFont"/>
    <w:link w:val="Footer"/>
    <w:uiPriority w:val="99"/>
    <w:rsid w:val="00CF3C3A"/>
    <w:rPr>
      <w:rFonts w:ascii="Cambria" w:eastAsia="MS Mincho" w:hAnsi="Cambria" w:cs="Times New Roman"/>
      <w:sz w:val="24"/>
      <w:lang w:eastAsia="ar-SA" w:bidi="ar-SA"/>
    </w:rPr>
  </w:style>
  <w:style w:type="paragraph" w:styleId="BalloonText">
    <w:name w:val="Balloon Text"/>
    <w:basedOn w:val="Normal"/>
    <w:link w:val="BalloonTextChar"/>
    <w:uiPriority w:val="99"/>
    <w:semiHidden/>
    <w:rsid w:val="002A2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9BC"/>
    <w:rPr>
      <w:rFonts w:eastAsia="MS Mincho" w:cs="Times New Roman"/>
      <w:sz w:val="2"/>
      <w:lang w:val="en-GB" w:eastAsia="ar-SA" w:bidi="ar-SA"/>
    </w:rPr>
  </w:style>
  <w:style w:type="paragraph" w:customStyle="1" w:styleId="textecontact">
    <w:name w:val="textecontact"/>
    <w:basedOn w:val="Normal"/>
    <w:uiPriority w:val="99"/>
    <w:rsid w:val="002A2D6A"/>
    <w:pPr>
      <w:spacing w:before="280" w:after="280"/>
    </w:pPr>
    <w:rPr>
      <w:rFonts w:ascii="Times New Roman" w:eastAsia="PMingLiU" w:hAnsi="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PMingLiU" w:hAnsi="Arial"/>
      <w:sz w:val="18"/>
      <w:szCs w:val="20"/>
    </w:rPr>
  </w:style>
  <w:style w:type="paragraph" w:customStyle="1" w:styleId="Titrecontact">
    <w:name w:val="Titre contact"/>
    <w:basedOn w:val="Textecontact0"/>
    <w:rsid w:val="002A2D6A"/>
    <w:pPr>
      <w:spacing w:before="0" w:after="0"/>
      <w:ind w:left="0" w:right="0"/>
    </w:pPr>
    <w:rPr>
      <w:b/>
      <w:color w:val="000000"/>
    </w:rPr>
  </w:style>
  <w:style w:type="paragraph" w:styleId="FootnoteText">
    <w:name w:val="footnote text"/>
    <w:basedOn w:val="Normal"/>
    <w:link w:val="FootnoteTextChar"/>
    <w:uiPriority w:val="99"/>
    <w:rsid w:val="002A2D6A"/>
    <w:rPr>
      <w:sz w:val="20"/>
      <w:szCs w:val="20"/>
    </w:rPr>
  </w:style>
  <w:style w:type="character" w:customStyle="1" w:styleId="FootnoteTextChar">
    <w:name w:val="Footnote Text Char"/>
    <w:basedOn w:val="DefaultParagraphFont"/>
    <w:link w:val="FootnoteText"/>
    <w:uiPriority w:val="99"/>
    <w:rsid w:val="00FE6E9A"/>
    <w:rPr>
      <w:rFonts w:ascii="Cambria" w:eastAsia="MS Mincho" w:hAnsi="Cambria" w:cs="Cambria"/>
      <w:lang w:val="en-GB" w:eastAsia="ar-SA" w:bidi="ar-SA"/>
    </w:rPr>
  </w:style>
  <w:style w:type="paragraph" w:customStyle="1" w:styleId="Textedesaisie">
    <w:name w:val="Texte de saisie"/>
    <w:basedOn w:val="Normal"/>
    <w:uiPriority w:val="99"/>
    <w:rsid w:val="002A2D6A"/>
    <w:pPr>
      <w:spacing w:line="260" w:lineRule="atLeast"/>
      <w:jc w:val="both"/>
    </w:pPr>
    <w:rPr>
      <w:rFonts w:ascii="Arial" w:eastAsia="PMingLiU" w:hAnsi="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BodyText"/>
    <w:uiPriority w:val="99"/>
    <w:rsid w:val="002A2D6A"/>
  </w:style>
  <w:style w:type="table" w:styleId="TableGrid">
    <w:name w:val="Table Grid"/>
    <w:basedOn w:val="TableNormal"/>
    <w:rsid w:val="00B26B73"/>
    <w:pPr>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F1C7E"/>
    <w:rPr>
      <w:rFonts w:cs="Times New Roman"/>
      <w:b/>
    </w:rPr>
  </w:style>
  <w:style w:type="character" w:styleId="FootnoteReference">
    <w:name w:val="footnote reference"/>
    <w:basedOn w:val="DefaultParagraphFont"/>
    <w:uiPriority w:val="99"/>
    <w:semiHidden/>
    <w:rsid w:val="008F1C7E"/>
    <w:rPr>
      <w:rFonts w:cs="Times New Roman"/>
      <w:vertAlign w:val="superscript"/>
    </w:rPr>
  </w:style>
  <w:style w:type="character" w:styleId="Emphasis">
    <w:name w:val="Emphasis"/>
    <w:basedOn w:val="DefaultParagraphFont"/>
    <w:uiPriority w:val="99"/>
    <w:qFormat/>
    <w:rsid w:val="008F1C7E"/>
    <w:rPr>
      <w:rFonts w:cs="Times New Roman"/>
      <w:i/>
    </w:rPr>
  </w:style>
  <w:style w:type="paragraph" w:styleId="ListParagraph">
    <w:name w:val="List Paragraph"/>
    <w:basedOn w:val="Normal"/>
    <w:uiPriority w:val="99"/>
    <w:qFormat/>
    <w:rsid w:val="00685E7B"/>
    <w:pPr>
      <w:widowControl/>
      <w:ind w:left="720"/>
    </w:pPr>
    <w:rPr>
      <w:rFonts w:ascii="Calibri" w:eastAsia="PMingLiU" w:hAnsi="Calibri" w:cs="Calibri"/>
      <w:sz w:val="22"/>
      <w:szCs w:val="22"/>
      <w:lang w:eastAsia="en-US"/>
    </w:rPr>
  </w:style>
  <w:style w:type="paragraph" w:customStyle="1" w:styleId="Default">
    <w:name w:val="Default"/>
    <w:uiPriority w:val="99"/>
    <w:rsid w:val="00DB22BF"/>
    <w:pPr>
      <w:widowControl w:val="0"/>
      <w:autoSpaceDE w:val="0"/>
      <w:autoSpaceDN w:val="0"/>
      <w:adjustRightInd w:val="0"/>
    </w:pPr>
    <w:rPr>
      <w:rFonts w:ascii="Arial" w:hAnsi="Arial" w:cs="Arial"/>
      <w:color w:val="000000"/>
      <w:sz w:val="24"/>
      <w:szCs w:val="24"/>
      <w:lang w:eastAsia="es-ES"/>
    </w:rPr>
  </w:style>
  <w:style w:type="table" w:styleId="LightGrid-Accent3">
    <w:name w:val="Light Grid Accent 3"/>
    <w:basedOn w:val="TableNormal"/>
    <w:uiPriority w:val="99"/>
    <w:rsid w:val="00FE6E9A"/>
    <w:rPr>
      <w:rFonts w:ascii="Calibri" w:hAnsi="Calibri"/>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CommentReference">
    <w:name w:val="annotation reference"/>
    <w:basedOn w:val="DefaultParagraphFont"/>
    <w:uiPriority w:val="99"/>
    <w:semiHidden/>
    <w:rsid w:val="006159DF"/>
    <w:rPr>
      <w:rFonts w:cs="Times New Roman"/>
      <w:sz w:val="16"/>
      <w:szCs w:val="16"/>
    </w:rPr>
  </w:style>
  <w:style w:type="paragraph" w:styleId="CommentText">
    <w:name w:val="annotation text"/>
    <w:basedOn w:val="Normal"/>
    <w:link w:val="CommentTextChar"/>
    <w:uiPriority w:val="99"/>
    <w:semiHidden/>
    <w:unhideWhenUsed/>
    <w:rsid w:val="00E338F3"/>
    <w:rPr>
      <w:sz w:val="20"/>
      <w:szCs w:val="20"/>
    </w:rPr>
  </w:style>
  <w:style w:type="character" w:customStyle="1" w:styleId="CommentTextChar">
    <w:name w:val="Comment Text Char"/>
    <w:basedOn w:val="DefaultParagraphFont"/>
    <w:link w:val="CommentText"/>
    <w:uiPriority w:val="99"/>
    <w:rsid w:val="006159DF"/>
    <w:rPr>
      <w:rFonts w:ascii="Cambria" w:eastAsia="MS Mincho" w:hAnsi="Cambria" w:cs="Cambria"/>
      <w:lang w:val="en-GB" w:eastAsia="ar-SA" w:bidi="ar-SA"/>
    </w:rPr>
  </w:style>
  <w:style w:type="paragraph" w:styleId="CommentSubject">
    <w:name w:val="annotation subject"/>
    <w:basedOn w:val="CommentText"/>
    <w:next w:val="CommentText"/>
    <w:link w:val="CommentSubjectChar"/>
    <w:uiPriority w:val="99"/>
    <w:semiHidden/>
    <w:rsid w:val="006159DF"/>
    <w:rPr>
      <w:b/>
      <w:bCs/>
    </w:rPr>
  </w:style>
  <w:style w:type="character" w:customStyle="1" w:styleId="CommentSubjectChar">
    <w:name w:val="Comment Subject Char"/>
    <w:basedOn w:val="CommentTextChar"/>
    <w:link w:val="CommentSubject"/>
    <w:uiPriority w:val="99"/>
    <w:rsid w:val="006159DF"/>
    <w:rPr>
      <w:rFonts w:ascii="Cambria" w:eastAsia="MS Mincho" w:hAnsi="Cambria" w:cs="Cambria"/>
      <w:b/>
      <w:bCs/>
      <w:lang w:val="en-GB" w:eastAsia="ar-SA" w:bidi="ar-SA"/>
    </w:rPr>
  </w:style>
  <w:style w:type="character" w:customStyle="1" w:styleId="TextodenotaderodapChar">
    <w:name w:val="Texto de nota de rodapé Char"/>
    <w:basedOn w:val="DefaultParagraphFont"/>
    <w:uiPriority w:val="99"/>
    <w:semiHidden/>
    <w:rsid w:val="00B229E0"/>
    <w:rPr>
      <w:rFonts w:cs="Times New Roman"/>
      <w:sz w:val="20"/>
      <w:szCs w:val="20"/>
    </w:rPr>
  </w:style>
  <w:style w:type="paragraph" w:customStyle="1" w:styleId="yiv9357918943msonormal">
    <w:name w:val="yiv9357918943msonormal"/>
    <w:basedOn w:val="Normal"/>
    <w:uiPriority w:val="99"/>
    <w:rsid w:val="002427C4"/>
    <w:pPr>
      <w:widowControl/>
      <w:spacing w:before="100" w:beforeAutospacing="1" w:after="100" w:afterAutospacing="1"/>
    </w:pPr>
    <w:rPr>
      <w:rFonts w:ascii="Times New Roman" w:eastAsia="PMingLiU" w:hAnsi="Times New Roman" w:cs="Times New Roman"/>
      <w:lang w:val="en-US" w:eastAsia="en-US"/>
    </w:rPr>
  </w:style>
  <w:style w:type="character" w:customStyle="1" w:styleId="PieddepageCar">
    <w:name w:val="Pied de page Car"/>
    <w:basedOn w:val="DefaultParagraphFont"/>
    <w:uiPriority w:val="99"/>
    <w:rsid w:val="00A6032A"/>
    <w:rPr>
      <w:rFonts w:cs="Times New Roman"/>
    </w:rPr>
  </w:style>
  <w:style w:type="paragraph" w:styleId="HTMLPreformatted">
    <w:name w:val="HTML Preformatted"/>
    <w:basedOn w:val="Normal"/>
    <w:link w:val="HTMLPreformattedChar"/>
    <w:uiPriority w:val="99"/>
    <w:unhideWhenUsed/>
    <w:rsid w:val="00AF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F44E6"/>
    <w:rPr>
      <w:rFonts w:ascii="Courier New" w:eastAsia="Times New Roman" w:hAnsi="Courier New" w:cs="Courier New"/>
      <w:sz w:val="20"/>
      <w:szCs w:val="20"/>
      <w:lang w:val="en-US" w:eastAsia="en-US"/>
    </w:rPr>
  </w:style>
  <w:style w:type="character" w:customStyle="1" w:styleId="st">
    <w:name w:val="st"/>
    <w:basedOn w:val="DefaultParagraphFont"/>
    <w:rsid w:val="00CE22C9"/>
  </w:style>
  <w:style w:type="character" w:customStyle="1" w:styleId="hps">
    <w:name w:val="hps"/>
    <w:basedOn w:val="DefaultParagraphFont"/>
    <w:rsid w:val="008E6103"/>
  </w:style>
  <w:style w:type="paragraph" w:styleId="NormalWeb">
    <w:name w:val="Normal (Web)"/>
    <w:basedOn w:val="Normal"/>
    <w:uiPriority w:val="99"/>
    <w:unhideWhenUsed/>
    <w:rsid w:val="008B279F"/>
    <w:pPr>
      <w:widowControl/>
      <w:spacing w:before="100" w:beforeAutospacing="1" w:after="100" w:afterAutospacing="1"/>
    </w:pPr>
    <w:rPr>
      <w:rFonts w:ascii="Times New Roman" w:eastAsiaTheme="minorEastAsia" w:hAnsi="Times New Roman" w:cs="Times New Roman"/>
      <w:lang w:val="en-US" w:eastAsia="en-US"/>
    </w:rPr>
  </w:style>
  <w:style w:type="table" w:styleId="LightGrid">
    <w:name w:val="Light Grid"/>
    <w:basedOn w:val="TableNormal"/>
    <w:uiPriority w:val="62"/>
    <w:rsid w:val="008B279F"/>
    <w:rPr>
      <w:rFonts w:asciiTheme="minorHAnsi" w:eastAsiaTheme="minorHAnsi" w:hAnsiTheme="minorHAnsi" w:cstheme="minorBidi"/>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ooterChar1">
    <w:name w:val="Footer Char1"/>
    <w:uiPriority w:val="99"/>
    <w:rsid w:val="00FF2BCB"/>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lang w:val="en-GB" w:eastAsia="ar-SA"/>
    </w:rPr>
  </w:style>
  <w:style w:type="paragraph" w:styleId="Heading3">
    <w:name w:val="heading 3"/>
    <w:basedOn w:val="Normal"/>
    <w:next w:val="BodyText"/>
    <w:link w:val="Heading3Char"/>
    <w:uiPriority w:val="99"/>
    <w:qFormat/>
    <w:rsid w:val="002A2D6A"/>
    <w:pPr>
      <w:numPr>
        <w:ilvl w:val="2"/>
        <w:numId w:val="1"/>
      </w:numPr>
      <w:spacing w:before="280" w:after="280" w:line="330" w:lineRule="atLeast"/>
      <w:outlineLvl w:val="2"/>
    </w:pPr>
    <w:rPr>
      <w:rFonts w:ascii="ITCLegacySansLTBookRegular" w:eastAsia="PMingLiU" w:hAnsi="ITCLegacySansLTBookRegular"/>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C409BC"/>
    <w:rPr>
      <w:rFonts w:ascii="Cambria" w:hAnsi="Cambria" w:cs="Times New Roman"/>
      <w:b/>
      <w:bCs/>
      <w:sz w:val="26"/>
      <w:szCs w:val="26"/>
      <w:lang w:val="en-GB" w:eastAsia="ar-SA" w:bidi="ar-SA"/>
    </w:rPr>
  </w:style>
  <w:style w:type="character" w:customStyle="1" w:styleId="WW8Num1z0">
    <w:name w:val="WW8Num1z0"/>
    <w:uiPriority w:val="99"/>
    <w:rsid w:val="002A2D6A"/>
    <w:rPr>
      <w:rFonts w:ascii="Times New Roman" w:eastAsia="MS Mincho" w:hAnsi="Times New Roman"/>
    </w:rPr>
  </w:style>
  <w:style w:type="character" w:customStyle="1" w:styleId="WW8Num1z1">
    <w:name w:val="WW8Num1z1"/>
    <w:uiPriority w:val="99"/>
    <w:rsid w:val="002A2D6A"/>
    <w:rPr>
      <w:rFonts w:ascii="Courier New" w:hAnsi="Courier New"/>
    </w:rPr>
  </w:style>
  <w:style w:type="character" w:customStyle="1" w:styleId="WW8Num1z2">
    <w:name w:val="WW8Num1z2"/>
    <w:uiPriority w:val="99"/>
    <w:rsid w:val="002A2D6A"/>
    <w:rPr>
      <w:rFonts w:ascii="Wingdings" w:hAnsi="Wingdings"/>
    </w:rPr>
  </w:style>
  <w:style w:type="character" w:customStyle="1" w:styleId="WW8Num1z3">
    <w:name w:val="WW8Num1z3"/>
    <w:uiPriority w:val="99"/>
    <w:rsid w:val="002A2D6A"/>
    <w:rPr>
      <w:rFonts w:ascii="Symbol" w:hAnsi="Symbol"/>
    </w:rPr>
  </w:style>
  <w:style w:type="character" w:customStyle="1" w:styleId="WW8Num2z0">
    <w:name w:val="WW8Num2z0"/>
    <w:uiPriority w:val="99"/>
    <w:rsid w:val="002A2D6A"/>
    <w:rPr>
      <w:rFonts w:ascii="Symbol" w:hAnsi="Symbol"/>
      <w:color w:val="000080"/>
    </w:rPr>
  </w:style>
  <w:style w:type="character" w:customStyle="1" w:styleId="WW8Num2z1">
    <w:name w:val="WW8Num2z1"/>
    <w:uiPriority w:val="99"/>
    <w:rsid w:val="002A2D6A"/>
    <w:rPr>
      <w:rFonts w:ascii="Wingdings" w:hAnsi="Wingdings"/>
      <w:color w:val="000080"/>
    </w:rPr>
  </w:style>
  <w:style w:type="character" w:customStyle="1" w:styleId="WW8Num2z2">
    <w:name w:val="WW8Num2z2"/>
    <w:uiPriority w:val="99"/>
    <w:rsid w:val="002A2D6A"/>
    <w:rPr>
      <w:rFonts w:ascii="Arial" w:eastAsia="MS Mincho" w:hAnsi="Arial"/>
    </w:rPr>
  </w:style>
  <w:style w:type="character" w:customStyle="1" w:styleId="WW8Num2z3">
    <w:name w:val="WW8Num2z3"/>
    <w:uiPriority w:val="99"/>
    <w:rsid w:val="002A2D6A"/>
    <w:rPr>
      <w:rFonts w:ascii="Symbol" w:hAnsi="Symbol"/>
    </w:rPr>
  </w:style>
  <w:style w:type="character" w:customStyle="1" w:styleId="WW8Num2z4">
    <w:name w:val="WW8Num2z4"/>
    <w:uiPriority w:val="99"/>
    <w:rsid w:val="002A2D6A"/>
    <w:rPr>
      <w:rFonts w:ascii="Courier New" w:hAnsi="Courier New"/>
    </w:rPr>
  </w:style>
  <w:style w:type="character" w:customStyle="1" w:styleId="WW8Num2z5">
    <w:name w:val="WW8Num2z5"/>
    <w:uiPriority w:val="99"/>
    <w:rsid w:val="002A2D6A"/>
    <w:rPr>
      <w:rFonts w:ascii="Wingdings" w:hAnsi="Wingdings"/>
    </w:rPr>
  </w:style>
  <w:style w:type="character" w:customStyle="1" w:styleId="WW8Num3z0">
    <w:name w:val="WW8Num3z0"/>
    <w:uiPriority w:val="99"/>
    <w:rsid w:val="002A2D6A"/>
    <w:rPr>
      <w:rFonts w:ascii="Symbol" w:hAnsi="Symbol"/>
    </w:rPr>
  </w:style>
  <w:style w:type="character" w:customStyle="1" w:styleId="WW8Num3z1">
    <w:name w:val="WW8Num3z1"/>
    <w:uiPriority w:val="99"/>
    <w:rsid w:val="002A2D6A"/>
    <w:rPr>
      <w:rFonts w:ascii="Courier New" w:hAnsi="Courier New"/>
    </w:rPr>
  </w:style>
  <w:style w:type="character" w:customStyle="1" w:styleId="WW8Num3z2">
    <w:name w:val="WW8Num3z2"/>
    <w:uiPriority w:val="99"/>
    <w:rsid w:val="002A2D6A"/>
    <w:rPr>
      <w:rFonts w:ascii="Wingdings" w:hAnsi="Wingdings"/>
    </w:rPr>
  </w:style>
  <w:style w:type="character" w:customStyle="1" w:styleId="WW8Num4z0">
    <w:name w:val="WW8Num4z0"/>
    <w:uiPriority w:val="99"/>
    <w:rsid w:val="002A2D6A"/>
    <w:rPr>
      <w:rFonts w:ascii="Symbol" w:hAnsi="Symbol"/>
      <w:color w:val="000080"/>
    </w:rPr>
  </w:style>
  <w:style w:type="character" w:customStyle="1" w:styleId="WW8Num4z1">
    <w:name w:val="WW8Num4z1"/>
    <w:uiPriority w:val="99"/>
    <w:rsid w:val="002A2D6A"/>
    <w:rPr>
      <w:rFonts w:ascii="Courier New" w:hAnsi="Courier New"/>
      <w:color w:val="000080"/>
    </w:rPr>
  </w:style>
  <w:style w:type="character" w:customStyle="1" w:styleId="WW8Num4z2">
    <w:name w:val="WW8Num4z2"/>
    <w:uiPriority w:val="99"/>
    <w:rsid w:val="002A2D6A"/>
    <w:rPr>
      <w:rFonts w:ascii="Arial" w:eastAsia="MS Mincho" w:hAnsi="Arial"/>
    </w:rPr>
  </w:style>
  <w:style w:type="character" w:customStyle="1" w:styleId="WW8Num4z3">
    <w:name w:val="WW8Num4z3"/>
    <w:uiPriority w:val="99"/>
    <w:rsid w:val="002A2D6A"/>
    <w:rPr>
      <w:rFonts w:ascii="Symbol" w:hAnsi="Symbol"/>
    </w:rPr>
  </w:style>
  <w:style w:type="character" w:customStyle="1" w:styleId="WW8Num4z4">
    <w:name w:val="WW8Num4z4"/>
    <w:uiPriority w:val="99"/>
    <w:rsid w:val="002A2D6A"/>
    <w:rPr>
      <w:rFonts w:ascii="Courier New" w:hAnsi="Courier New"/>
    </w:rPr>
  </w:style>
  <w:style w:type="character" w:customStyle="1" w:styleId="WW8Num4z5">
    <w:name w:val="WW8Num4z5"/>
    <w:uiPriority w:val="99"/>
    <w:rsid w:val="002A2D6A"/>
    <w:rPr>
      <w:rFonts w:ascii="Wingdings" w:hAnsi="Wingdings"/>
    </w:rPr>
  </w:style>
  <w:style w:type="character" w:customStyle="1" w:styleId="WW8Num5z0">
    <w:name w:val="WW8Num5z0"/>
    <w:uiPriority w:val="99"/>
    <w:rsid w:val="002A2D6A"/>
    <w:rPr>
      <w:rFonts w:ascii="Symbol" w:hAnsi="Symbol"/>
      <w:color w:val="auto"/>
      <w:w w:val="100"/>
    </w:rPr>
  </w:style>
  <w:style w:type="character" w:customStyle="1" w:styleId="WW8Num5z1">
    <w:name w:val="WW8Num5z1"/>
    <w:uiPriority w:val="99"/>
    <w:rsid w:val="002A2D6A"/>
    <w:rPr>
      <w:rFonts w:ascii="Courier New" w:hAnsi="Courier New"/>
    </w:rPr>
  </w:style>
  <w:style w:type="character" w:customStyle="1" w:styleId="WW8Num5z2">
    <w:name w:val="WW8Num5z2"/>
    <w:uiPriority w:val="99"/>
    <w:rsid w:val="002A2D6A"/>
    <w:rPr>
      <w:rFonts w:ascii="Wingdings" w:hAnsi="Wingdings"/>
    </w:rPr>
  </w:style>
  <w:style w:type="character" w:customStyle="1" w:styleId="WW8Num5z3">
    <w:name w:val="WW8Num5z3"/>
    <w:uiPriority w:val="99"/>
    <w:rsid w:val="002A2D6A"/>
    <w:rPr>
      <w:rFonts w:ascii="Symbol" w:hAnsi="Symbol"/>
    </w:rPr>
  </w:style>
  <w:style w:type="character" w:customStyle="1" w:styleId="WW8Num6z0">
    <w:name w:val="WW8Num6z0"/>
    <w:uiPriority w:val="99"/>
    <w:rsid w:val="002A2D6A"/>
    <w:rPr>
      <w:rFonts w:ascii="Symbol" w:hAnsi="Symbol"/>
      <w:color w:val="auto"/>
      <w:w w:val="100"/>
    </w:rPr>
  </w:style>
  <w:style w:type="character" w:customStyle="1" w:styleId="WW8Num6z1">
    <w:name w:val="WW8Num6z1"/>
    <w:uiPriority w:val="99"/>
    <w:rsid w:val="002A2D6A"/>
    <w:rPr>
      <w:rFonts w:ascii="Courier New" w:hAnsi="Courier New"/>
    </w:rPr>
  </w:style>
  <w:style w:type="character" w:customStyle="1" w:styleId="WW8Num6z2">
    <w:name w:val="WW8Num6z2"/>
    <w:uiPriority w:val="99"/>
    <w:rsid w:val="002A2D6A"/>
    <w:rPr>
      <w:rFonts w:ascii="Wingdings" w:hAnsi="Wingdings"/>
    </w:rPr>
  </w:style>
  <w:style w:type="character" w:customStyle="1" w:styleId="WW8Num6z3">
    <w:name w:val="WW8Num6z3"/>
    <w:uiPriority w:val="99"/>
    <w:rsid w:val="002A2D6A"/>
    <w:rPr>
      <w:rFonts w:ascii="Symbol" w:hAnsi="Symbol"/>
    </w:rPr>
  </w:style>
  <w:style w:type="character" w:customStyle="1" w:styleId="WW8Num7z0">
    <w:name w:val="WW8Num7z0"/>
    <w:uiPriority w:val="99"/>
    <w:rsid w:val="002A2D6A"/>
    <w:rPr>
      <w:rFonts w:ascii="Symbol" w:hAnsi="Symbol"/>
      <w:color w:val="000080"/>
    </w:rPr>
  </w:style>
  <w:style w:type="character" w:customStyle="1" w:styleId="WW8Num7z1">
    <w:name w:val="WW8Num7z1"/>
    <w:uiPriority w:val="99"/>
    <w:rsid w:val="002A2D6A"/>
    <w:rPr>
      <w:rFonts w:ascii="Wingdings" w:hAnsi="Wingdings"/>
      <w:color w:val="000080"/>
    </w:rPr>
  </w:style>
  <w:style w:type="character" w:customStyle="1" w:styleId="WW8Num7z2">
    <w:name w:val="WW8Num7z2"/>
    <w:uiPriority w:val="99"/>
    <w:rsid w:val="002A2D6A"/>
    <w:rPr>
      <w:rFonts w:ascii="Arial" w:eastAsia="MS Mincho" w:hAnsi="Arial"/>
    </w:rPr>
  </w:style>
  <w:style w:type="character" w:customStyle="1" w:styleId="WW8Num7z3">
    <w:name w:val="WW8Num7z3"/>
    <w:uiPriority w:val="99"/>
    <w:rsid w:val="002A2D6A"/>
    <w:rPr>
      <w:rFonts w:ascii="Symbol" w:hAnsi="Symbol"/>
    </w:rPr>
  </w:style>
  <w:style w:type="character" w:customStyle="1" w:styleId="WW8Num7z4">
    <w:name w:val="WW8Num7z4"/>
    <w:uiPriority w:val="99"/>
    <w:rsid w:val="002A2D6A"/>
    <w:rPr>
      <w:rFonts w:ascii="Courier New" w:hAnsi="Courier New"/>
    </w:rPr>
  </w:style>
  <w:style w:type="character" w:customStyle="1" w:styleId="WW8Num7z5">
    <w:name w:val="WW8Num7z5"/>
    <w:uiPriority w:val="99"/>
    <w:rsid w:val="002A2D6A"/>
    <w:rPr>
      <w:rFonts w:ascii="Wingdings" w:hAnsi="Wingdings"/>
    </w:rPr>
  </w:style>
  <w:style w:type="character" w:customStyle="1" w:styleId="WW8Num8z0">
    <w:name w:val="WW8Num8z0"/>
    <w:uiPriority w:val="99"/>
    <w:rsid w:val="002A2D6A"/>
    <w:rPr>
      <w:rFonts w:ascii="Symbol" w:hAnsi="Symbol"/>
    </w:rPr>
  </w:style>
  <w:style w:type="character" w:customStyle="1" w:styleId="WW8Num8z1">
    <w:name w:val="WW8Num8z1"/>
    <w:uiPriority w:val="99"/>
    <w:rsid w:val="002A2D6A"/>
    <w:rPr>
      <w:rFonts w:ascii="Courier New" w:hAnsi="Courier New"/>
    </w:rPr>
  </w:style>
  <w:style w:type="character" w:customStyle="1" w:styleId="WW8Num8z2">
    <w:name w:val="WW8Num8z2"/>
    <w:uiPriority w:val="99"/>
    <w:rsid w:val="002A2D6A"/>
    <w:rPr>
      <w:rFonts w:ascii="Wingdings" w:hAnsi="Wingdings"/>
    </w:rPr>
  </w:style>
  <w:style w:type="character" w:customStyle="1" w:styleId="WW8Num9z0">
    <w:name w:val="WW8Num9z0"/>
    <w:uiPriority w:val="99"/>
    <w:rsid w:val="002A2D6A"/>
    <w:rPr>
      <w:rFonts w:ascii="Symbol" w:hAnsi="Symbol"/>
      <w:color w:val="000080"/>
    </w:rPr>
  </w:style>
  <w:style w:type="character" w:customStyle="1" w:styleId="WW8Num9z1">
    <w:name w:val="WW8Num9z1"/>
    <w:uiPriority w:val="99"/>
    <w:rsid w:val="002A2D6A"/>
    <w:rPr>
      <w:rFonts w:ascii="Wingdings" w:hAnsi="Wingdings"/>
      <w:color w:val="auto"/>
    </w:rPr>
  </w:style>
  <w:style w:type="character" w:customStyle="1" w:styleId="WW8Num9z2">
    <w:name w:val="WW8Num9z2"/>
    <w:uiPriority w:val="99"/>
    <w:rsid w:val="002A2D6A"/>
    <w:rPr>
      <w:rFonts w:ascii="Arial" w:eastAsia="MS Mincho" w:hAnsi="Arial"/>
    </w:rPr>
  </w:style>
  <w:style w:type="character" w:customStyle="1" w:styleId="WW8Num9z3">
    <w:name w:val="WW8Num9z3"/>
    <w:uiPriority w:val="99"/>
    <w:rsid w:val="002A2D6A"/>
    <w:rPr>
      <w:rFonts w:ascii="Symbol" w:hAnsi="Symbol"/>
    </w:rPr>
  </w:style>
  <w:style w:type="character" w:customStyle="1" w:styleId="WW8Num9z4">
    <w:name w:val="WW8Num9z4"/>
    <w:uiPriority w:val="99"/>
    <w:rsid w:val="002A2D6A"/>
    <w:rPr>
      <w:rFonts w:ascii="Courier New" w:hAnsi="Courier New"/>
    </w:rPr>
  </w:style>
  <w:style w:type="character" w:customStyle="1" w:styleId="WW8Num9z5">
    <w:name w:val="WW8Num9z5"/>
    <w:uiPriority w:val="99"/>
    <w:rsid w:val="002A2D6A"/>
    <w:rPr>
      <w:rFonts w:ascii="Wingdings" w:hAnsi="Wingdings"/>
    </w:rPr>
  </w:style>
  <w:style w:type="character" w:customStyle="1" w:styleId="WW8Num11z0">
    <w:name w:val="WW8Num11z0"/>
    <w:uiPriority w:val="99"/>
    <w:rsid w:val="002A2D6A"/>
    <w:rPr>
      <w:rFonts w:ascii="Symbol" w:hAnsi="Symbol"/>
      <w:color w:val="000080"/>
    </w:rPr>
  </w:style>
  <w:style w:type="character" w:customStyle="1" w:styleId="WW8Num11z1">
    <w:name w:val="WW8Num11z1"/>
    <w:uiPriority w:val="99"/>
    <w:rsid w:val="002A2D6A"/>
    <w:rPr>
      <w:rFonts w:ascii="Courier New" w:hAnsi="Courier New"/>
      <w:color w:val="000080"/>
    </w:rPr>
  </w:style>
  <w:style w:type="character" w:customStyle="1" w:styleId="WW8Num11z2">
    <w:name w:val="WW8Num11z2"/>
    <w:uiPriority w:val="99"/>
    <w:rsid w:val="002A2D6A"/>
    <w:rPr>
      <w:rFonts w:ascii="Arial" w:eastAsia="MS Mincho" w:hAnsi="Arial"/>
    </w:rPr>
  </w:style>
  <w:style w:type="character" w:customStyle="1" w:styleId="WW8Num11z3">
    <w:name w:val="WW8Num11z3"/>
    <w:uiPriority w:val="99"/>
    <w:rsid w:val="002A2D6A"/>
    <w:rPr>
      <w:rFonts w:ascii="Symbol" w:hAnsi="Symbol"/>
    </w:rPr>
  </w:style>
  <w:style w:type="character" w:customStyle="1" w:styleId="WW8Num11z4">
    <w:name w:val="WW8Num11z4"/>
    <w:uiPriority w:val="99"/>
    <w:rsid w:val="002A2D6A"/>
    <w:rPr>
      <w:rFonts w:ascii="Courier New" w:hAnsi="Courier New"/>
    </w:rPr>
  </w:style>
  <w:style w:type="character" w:customStyle="1" w:styleId="WW8Num11z5">
    <w:name w:val="WW8Num11z5"/>
    <w:uiPriority w:val="99"/>
    <w:rsid w:val="002A2D6A"/>
    <w:rPr>
      <w:rFonts w:ascii="Wingdings" w:hAnsi="Wingdings"/>
    </w:rPr>
  </w:style>
  <w:style w:type="character" w:customStyle="1" w:styleId="WW8Num12z0">
    <w:name w:val="WW8Num12z0"/>
    <w:uiPriority w:val="99"/>
    <w:rsid w:val="002A2D6A"/>
    <w:rPr>
      <w:rFonts w:ascii="Symbol" w:hAnsi="Symbol"/>
      <w:color w:val="auto"/>
      <w:w w:val="100"/>
    </w:rPr>
  </w:style>
  <w:style w:type="character" w:customStyle="1" w:styleId="WW8Num12z1">
    <w:name w:val="WW8Num12z1"/>
    <w:uiPriority w:val="99"/>
    <w:rsid w:val="002A2D6A"/>
    <w:rPr>
      <w:rFonts w:ascii="Courier New" w:hAnsi="Courier New"/>
    </w:rPr>
  </w:style>
  <w:style w:type="character" w:customStyle="1" w:styleId="WW8Num12z2">
    <w:name w:val="WW8Num12z2"/>
    <w:uiPriority w:val="99"/>
    <w:rsid w:val="002A2D6A"/>
    <w:rPr>
      <w:rFonts w:ascii="Wingdings" w:hAnsi="Wingdings"/>
    </w:rPr>
  </w:style>
  <w:style w:type="character" w:customStyle="1" w:styleId="WW8Num12z3">
    <w:name w:val="WW8Num12z3"/>
    <w:uiPriority w:val="99"/>
    <w:rsid w:val="002A2D6A"/>
    <w:rPr>
      <w:rFonts w:ascii="Symbol" w:hAnsi="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rPr>
      <w:rFonts w:cs="Times New Roman"/>
    </w:rPr>
  </w:style>
  <w:style w:type="character" w:customStyle="1" w:styleId="CarCar1">
    <w:name w:val="Car Car1"/>
    <w:basedOn w:val="Policepardfaut1"/>
    <w:uiPriority w:val="99"/>
    <w:rsid w:val="002A2D6A"/>
    <w:rPr>
      <w:rFonts w:cs="Times New Roman"/>
    </w:rPr>
  </w:style>
  <w:style w:type="character" w:customStyle="1" w:styleId="CarCar">
    <w:name w:val="Car Car"/>
    <w:uiPriority w:val="99"/>
    <w:rsid w:val="002A2D6A"/>
    <w:rPr>
      <w:rFonts w:ascii="Lucida Grande" w:hAnsi="Lucida Grande"/>
      <w:sz w:val="18"/>
    </w:rPr>
  </w:style>
  <w:style w:type="character" w:styleId="Hyperlink">
    <w:name w:val="Hyperlink"/>
    <w:basedOn w:val="DefaultParagraphFont"/>
    <w:rsid w:val="002A2D6A"/>
    <w:rPr>
      <w:rFonts w:cs="Times New Roman"/>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rPr>
      <w:rFonts w:cs="Times New Roman"/>
    </w:rPr>
  </w:style>
  <w:style w:type="character" w:styleId="PageNumber">
    <w:name w:val="page number"/>
    <w:basedOn w:val="Policepardfaut1"/>
    <w:uiPriority w:val="99"/>
    <w:rsid w:val="002A2D6A"/>
    <w:rPr>
      <w:rFonts w:cs="Times New Roman"/>
    </w:rPr>
  </w:style>
  <w:style w:type="paragraph" w:customStyle="1" w:styleId="Titre1">
    <w:name w:val="Titre1"/>
    <w:basedOn w:val="Normal"/>
    <w:next w:val="BodyText"/>
    <w:uiPriority w:val="99"/>
    <w:rsid w:val="002A2D6A"/>
    <w:pPr>
      <w:keepNext/>
      <w:spacing w:before="240" w:after="120"/>
    </w:pPr>
    <w:rPr>
      <w:rFonts w:ascii="Arial" w:eastAsia="PMingLiU" w:hAnsi="Arial" w:cs="Tahoma"/>
      <w:sz w:val="28"/>
      <w:szCs w:val="28"/>
    </w:rPr>
  </w:style>
  <w:style w:type="paragraph" w:styleId="BodyText">
    <w:name w:val="Body Text"/>
    <w:basedOn w:val="Normal"/>
    <w:link w:val="BodyTextChar"/>
    <w:uiPriority w:val="99"/>
    <w:rsid w:val="002A2D6A"/>
    <w:pPr>
      <w:spacing w:after="120"/>
    </w:pPr>
  </w:style>
  <w:style w:type="character" w:customStyle="1" w:styleId="BodyTextChar">
    <w:name w:val="Body Text Char"/>
    <w:basedOn w:val="DefaultParagraphFont"/>
    <w:link w:val="BodyText"/>
    <w:uiPriority w:val="99"/>
    <w:semiHidden/>
    <w:rsid w:val="00C409BC"/>
    <w:rPr>
      <w:rFonts w:ascii="Cambria" w:eastAsia="MS Mincho" w:hAnsi="Cambria" w:cs="Cambria"/>
      <w:sz w:val="24"/>
      <w:szCs w:val="24"/>
      <w:lang w:val="en-GB" w:eastAsia="ar-SA" w:bidi="ar-SA"/>
    </w:rPr>
  </w:style>
  <w:style w:type="paragraph" w:styleId="List">
    <w:name w:val="List"/>
    <w:basedOn w:val="BodyText"/>
    <w:uiPriority w:val="99"/>
    <w:rsid w:val="002A2D6A"/>
    <w:rPr>
      <w:rFonts w:cs="Tahoma"/>
    </w:rPr>
  </w:style>
  <w:style w:type="paragraph" w:customStyle="1" w:styleId="Lgende1">
    <w:name w:val="Légende1"/>
    <w:basedOn w:val="Normal"/>
    <w:uiPriority w:val="99"/>
    <w:rsid w:val="002A2D6A"/>
    <w:pPr>
      <w:suppressLineNumbers/>
      <w:spacing w:before="120" w:after="120"/>
    </w:pPr>
    <w:rPr>
      <w:rFonts w:cs="Tahoma"/>
      <w:i/>
      <w:iCs/>
    </w:rPr>
  </w:style>
  <w:style w:type="paragraph" w:customStyle="1" w:styleId="Rpertoire">
    <w:name w:val="Répertoire"/>
    <w:basedOn w:val="Normal"/>
    <w:uiPriority w:val="99"/>
    <w:rsid w:val="002A2D6A"/>
    <w:pPr>
      <w:suppressLineNumbers/>
    </w:pPr>
    <w:rPr>
      <w:rFonts w:cs="Tahoma"/>
    </w:rPr>
  </w:style>
  <w:style w:type="paragraph" w:styleId="Header">
    <w:name w:val="header"/>
    <w:basedOn w:val="Normal"/>
    <w:link w:val="HeaderChar"/>
    <w:uiPriority w:val="99"/>
    <w:rsid w:val="002A2D6A"/>
  </w:style>
  <w:style w:type="character" w:customStyle="1" w:styleId="HeaderChar">
    <w:name w:val="Header Char"/>
    <w:basedOn w:val="DefaultParagraphFont"/>
    <w:link w:val="Header"/>
    <w:uiPriority w:val="99"/>
    <w:semiHidden/>
    <w:rsid w:val="00C409BC"/>
    <w:rPr>
      <w:rFonts w:ascii="Cambria" w:eastAsia="MS Mincho" w:hAnsi="Cambria" w:cs="Cambria"/>
      <w:sz w:val="24"/>
      <w:szCs w:val="24"/>
      <w:lang w:val="en-GB" w:eastAsia="ar-SA" w:bidi="ar-SA"/>
    </w:rPr>
  </w:style>
  <w:style w:type="paragraph" w:styleId="Footer">
    <w:name w:val="footer"/>
    <w:basedOn w:val="Normal"/>
    <w:link w:val="FooterChar"/>
    <w:uiPriority w:val="99"/>
    <w:rsid w:val="002A2D6A"/>
    <w:rPr>
      <w:rFonts w:cs="Times New Roman"/>
      <w:lang w:val="fr-FR"/>
    </w:rPr>
  </w:style>
  <w:style w:type="character" w:customStyle="1" w:styleId="FooterChar">
    <w:name w:val="Footer Char"/>
    <w:basedOn w:val="DefaultParagraphFont"/>
    <w:link w:val="Footer"/>
    <w:uiPriority w:val="99"/>
    <w:rsid w:val="00CF3C3A"/>
    <w:rPr>
      <w:rFonts w:ascii="Cambria" w:eastAsia="MS Mincho" w:hAnsi="Cambria" w:cs="Times New Roman"/>
      <w:sz w:val="24"/>
      <w:lang w:eastAsia="ar-SA" w:bidi="ar-SA"/>
    </w:rPr>
  </w:style>
  <w:style w:type="paragraph" w:styleId="BalloonText">
    <w:name w:val="Balloon Text"/>
    <w:basedOn w:val="Normal"/>
    <w:link w:val="BalloonTextChar"/>
    <w:uiPriority w:val="99"/>
    <w:semiHidden/>
    <w:rsid w:val="002A2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9BC"/>
    <w:rPr>
      <w:rFonts w:eastAsia="MS Mincho" w:cs="Times New Roman"/>
      <w:sz w:val="2"/>
      <w:lang w:val="en-GB" w:eastAsia="ar-SA" w:bidi="ar-SA"/>
    </w:rPr>
  </w:style>
  <w:style w:type="paragraph" w:customStyle="1" w:styleId="textecontact">
    <w:name w:val="textecontact"/>
    <w:basedOn w:val="Normal"/>
    <w:uiPriority w:val="99"/>
    <w:rsid w:val="002A2D6A"/>
    <w:pPr>
      <w:spacing w:before="280" w:after="280"/>
    </w:pPr>
    <w:rPr>
      <w:rFonts w:ascii="Times New Roman" w:eastAsia="PMingLiU" w:hAnsi="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PMingLiU" w:hAnsi="Arial"/>
      <w:sz w:val="18"/>
      <w:szCs w:val="20"/>
    </w:rPr>
  </w:style>
  <w:style w:type="paragraph" w:customStyle="1" w:styleId="Titrecontact">
    <w:name w:val="Titre contact"/>
    <w:basedOn w:val="Textecontact0"/>
    <w:rsid w:val="002A2D6A"/>
    <w:pPr>
      <w:spacing w:before="0" w:after="0"/>
      <w:ind w:left="0" w:right="0"/>
    </w:pPr>
    <w:rPr>
      <w:b/>
      <w:color w:val="000000"/>
    </w:rPr>
  </w:style>
  <w:style w:type="paragraph" w:styleId="FootnoteText">
    <w:name w:val="footnote text"/>
    <w:basedOn w:val="Normal"/>
    <w:link w:val="FootnoteTextChar"/>
    <w:uiPriority w:val="99"/>
    <w:rsid w:val="002A2D6A"/>
    <w:rPr>
      <w:sz w:val="20"/>
      <w:szCs w:val="20"/>
    </w:rPr>
  </w:style>
  <w:style w:type="character" w:customStyle="1" w:styleId="FootnoteTextChar">
    <w:name w:val="Footnote Text Char"/>
    <w:basedOn w:val="DefaultParagraphFont"/>
    <w:link w:val="FootnoteText"/>
    <w:uiPriority w:val="99"/>
    <w:rsid w:val="00FE6E9A"/>
    <w:rPr>
      <w:rFonts w:ascii="Cambria" w:eastAsia="MS Mincho" w:hAnsi="Cambria" w:cs="Cambria"/>
      <w:lang w:val="en-GB" w:eastAsia="ar-SA" w:bidi="ar-SA"/>
    </w:rPr>
  </w:style>
  <w:style w:type="paragraph" w:customStyle="1" w:styleId="Textedesaisie">
    <w:name w:val="Texte de saisie"/>
    <w:basedOn w:val="Normal"/>
    <w:uiPriority w:val="99"/>
    <w:rsid w:val="002A2D6A"/>
    <w:pPr>
      <w:spacing w:line="260" w:lineRule="atLeast"/>
      <w:jc w:val="both"/>
    </w:pPr>
    <w:rPr>
      <w:rFonts w:ascii="Arial" w:eastAsia="PMingLiU" w:hAnsi="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BodyText"/>
    <w:uiPriority w:val="99"/>
    <w:rsid w:val="002A2D6A"/>
  </w:style>
  <w:style w:type="table" w:styleId="TableGrid">
    <w:name w:val="Table Grid"/>
    <w:basedOn w:val="TableNormal"/>
    <w:rsid w:val="00B26B73"/>
    <w:pPr>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F1C7E"/>
    <w:rPr>
      <w:rFonts w:cs="Times New Roman"/>
      <w:b/>
    </w:rPr>
  </w:style>
  <w:style w:type="character" w:styleId="FootnoteReference">
    <w:name w:val="footnote reference"/>
    <w:basedOn w:val="DefaultParagraphFont"/>
    <w:uiPriority w:val="99"/>
    <w:semiHidden/>
    <w:rsid w:val="008F1C7E"/>
    <w:rPr>
      <w:rFonts w:cs="Times New Roman"/>
      <w:vertAlign w:val="superscript"/>
    </w:rPr>
  </w:style>
  <w:style w:type="character" w:styleId="Emphasis">
    <w:name w:val="Emphasis"/>
    <w:basedOn w:val="DefaultParagraphFont"/>
    <w:uiPriority w:val="99"/>
    <w:qFormat/>
    <w:rsid w:val="008F1C7E"/>
    <w:rPr>
      <w:rFonts w:cs="Times New Roman"/>
      <w:i/>
    </w:rPr>
  </w:style>
  <w:style w:type="paragraph" w:styleId="ListParagraph">
    <w:name w:val="List Paragraph"/>
    <w:basedOn w:val="Normal"/>
    <w:uiPriority w:val="99"/>
    <w:qFormat/>
    <w:rsid w:val="00685E7B"/>
    <w:pPr>
      <w:widowControl/>
      <w:ind w:left="720"/>
    </w:pPr>
    <w:rPr>
      <w:rFonts w:ascii="Calibri" w:eastAsia="PMingLiU" w:hAnsi="Calibri" w:cs="Calibri"/>
      <w:sz w:val="22"/>
      <w:szCs w:val="22"/>
      <w:lang w:eastAsia="en-US"/>
    </w:rPr>
  </w:style>
  <w:style w:type="paragraph" w:customStyle="1" w:styleId="Default">
    <w:name w:val="Default"/>
    <w:uiPriority w:val="99"/>
    <w:rsid w:val="00DB22BF"/>
    <w:pPr>
      <w:widowControl w:val="0"/>
      <w:autoSpaceDE w:val="0"/>
      <w:autoSpaceDN w:val="0"/>
      <w:adjustRightInd w:val="0"/>
    </w:pPr>
    <w:rPr>
      <w:rFonts w:ascii="Arial" w:hAnsi="Arial" w:cs="Arial"/>
      <w:color w:val="000000"/>
      <w:sz w:val="24"/>
      <w:szCs w:val="24"/>
      <w:lang w:eastAsia="es-ES"/>
    </w:rPr>
  </w:style>
  <w:style w:type="table" w:styleId="LightGrid-Accent3">
    <w:name w:val="Light Grid Accent 3"/>
    <w:basedOn w:val="TableNormal"/>
    <w:uiPriority w:val="99"/>
    <w:rsid w:val="00FE6E9A"/>
    <w:rPr>
      <w:rFonts w:ascii="Calibri" w:hAnsi="Calibri"/>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CommentReference">
    <w:name w:val="annotation reference"/>
    <w:basedOn w:val="DefaultParagraphFont"/>
    <w:uiPriority w:val="99"/>
    <w:semiHidden/>
    <w:rsid w:val="006159DF"/>
    <w:rPr>
      <w:rFonts w:cs="Times New Roman"/>
      <w:sz w:val="16"/>
      <w:szCs w:val="16"/>
    </w:rPr>
  </w:style>
  <w:style w:type="paragraph" w:styleId="CommentText">
    <w:name w:val="annotation text"/>
    <w:basedOn w:val="Normal"/>
    <w:link w:val="CommentTextChar"/>
    <w:uiPriority w:val="99"/>
    <w:semiHidden/>
    <w:unhideWhenUsed/>
    <w:rsid w:val="00E338F3"/>
    <w:rPr>
      <w:sz w:val="20"/>
      <w:szCs w:val="20"/>
    </w:rPr>
  </w:style>
  <w:style w:type="character" w:customStyle="1" w:styleId="CommentTextChar">
    <w:name w:val="Comment Text Char"/>
    <w:basedOn w:val="DefaultParagraphFont"/>
    <w:link w:val="CommentText"/>
    <w:uiPriority w:val="99"/>
    <w:rsid w:val="006159DF"/>
    <w:rPr>
      <w:rFonts w:ascii="Cambria" w:eastAsia="MS Mincho" w:hAnsi="Cambria" w:cs="Cambria"/>
      <w:lang w:val="en-GB" w:eastAsia="ar-SA" w:bidi="ar-SA"/>
    </w:rPr>
  </w:style>
  <w:style w:type="paragraph" w:styleId="CommentSubject">
    <w:name w:val="annotation subject"/>
    <w:basedOn w:val="CommentText"/>
    <w:next w:val="CommentText"/>
    <w:link w:val="CommentSubjectChar"/>
    <w:uiPriority w:val="99"/>
    <w:semiHidden/>
    <w:rsid w:val="006159DF"/>
    <w:rPr>
      <w:b/>
      <w:bCs/>
    </w:rPr>
  </w:style>
  <w:style w:type="character" w:customStyle="1" w:styleId="CommentSubjectChar">
    <w:name w:val="Comment Subject Char"/>
    <w:basedOn w:val="CommentTextChar"/>
    <w:link w:val="CommentSubject"/>
    <w:uiPriority w:val="99"/>
    <w:rsid w:val="006159DF"/>
    <w:rPr>
      <w:rFonts w:ascii="Cambria" w:eastAsia="MS Mincho" w:hAnsi="Cambria" w:cs="Cambria"/>
      <w:b/>
      <w:bCs/>
      <w:lang w:val="en-GB" w:eastAsia="ar-SA" w:bidi="ar-SA"/>
    </w:rPr>
  </w:style>
  <w:style w:type="character" w:customStyle="1" w:styleId="TextodenotaderodapChar">
    <w:name w:val="Texto de nota de rodapé Char"/>
    <w:basedOn w:val="DefaultParagraphFont"/>
    <w:uiPriority w:val="99"/>
    <w:semiHidden/>
    <w:rsid w:val="00B229E0"/>
    <w:rPr>
      <w:rFonts w:cs="Times New Roman"/>
      <w:sz w:val="20"/>
      <w:szCs w:val="20"/>
    </w:rPr>
  </w:style>
  <w:style w:type="paragraph" w:customStyle="1" w:styleId="yiv9357918943msonormal">
    <w:name w:val="yiv9357918943msonormal"/>
    <w:basedOn w:val="Normal"/>
    <w:uiPriority w:val="99"/>
    <w:rsid w:val="002427C4"/>
    <w:pPr>
      <w:widowControl/>
      <w:spacing w:before="100" w:beforeAutospacing="1" w:after="100" w:afterAutospacing="1"/>
    </w:pPr>
    <w:rPr>
      <w:rFonts w:ascii="Times New Roman" w:eastAsia="PMingLiU" w:hAnsi="Times New Roman" w:cs="Times New Roman"/>
      <w:lang w:val="en-US" w:eastAsia="en-US"/>
    </w:rPr>
  </w:style>
  <w:style w:type="character" w:customStyle="1" w:styleId="PieddepageCar">
    <w:name w:val="Pied de page Car"/>
    <w:basedOn w:val="DefaultParagraphFont"/>
    <w:uiPriority w:val="99"/>
    <w:rsid w:val="00A6032A"/>
    <w:rPr>
      <w:rFonts w:cs="Times New Roman"/>
    </w:rPr>
  </w:style>
  <w:style w:type="paragraph" w:styleId="HTMLPreformatted">
    <w:name w:val="HTML Preformatted"/>
    <w:basedOn w:val="Normal"/>
    <w:link w:val="HTMLPreformattedChar"/>
    <w:uiPriority w:val="99"/>
    <w:unhideWhenUsed/>
    <w:rsid w:val="00AF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F44E6"/>
    <w:rPr>
      <w:rFonts w:ascii="Courier New" w:eastAsia="Times New Roman" w:hAnsi="Courier New" w:cs="Courier New"/>
      <w:sz w:val="20"/>
      <w:szCs w:val="20"/>
      <w:lang w:val="en-US" w:eastAsia="en-US"/>
    </w:rPr>
  </w:style>
  <w:style w:type="character" w:customStyle="1" w:styleId="st">
    <w:name w:val="st"/>
    <w:basedOn w:val="DefaultParagraphFont"/>
    <w:rsid w:val="00CE22C9"/>
  </w:style>
  <w:style w:type="character" w:customStyle="1" w:styleId="hps">
    <w:name w:val="hps"/>
    <w:basedOn w:val="DefaultParagraphFont"/>
    <w:rsid w:val="008E6103"/>
  </w:style>
  <w:style w:type="paragraph" w:styleId="NormalWeb">
    <w:name w:val="Normal (Web)"/>
    <w:basedOn w:val="Normal"/>
    <w:uiPriority w:val="99"/>
    <w:unhideWhenUsed/>
    <w:rsid w:val="008B279F"/>
    <w:pPr>
      <w:widowControl/>
      <w:spacing w:before="100" w:beforeAutospacing="1" w:after="100" w:afterAutospacing="1"/>
    </w:pPr>
    <w:rPr>
      <w:rFonts w:ascii="Times New Roman" w:eastAsiaTheme="minorEastAsia" w:hAnsi="Times New Roman" w:cs="Times New Roman"/>
      <w:lang w:val="en-US" w:eastAsia="en-US"/>
    </w:rPr>
  </w:style>
  <w:style w:type="table" w:styleId="LightGrid">
    <w:name w:val="Light Grid"/>
    <w:basedOn w:val="TableNormal"/>
    <w:uiPriority w:val="62"/>
    <w:rsid w:val="008B279F"/>
    <w:rPr>
      <w:rFonts w:asciiTheme="minorHAnsi" w:eastAsiaTheme="minorHAnsi" w:hAnsiTheme="minorHAnsi" w:cstheme="minorBidi"/>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ooterChar1">
    <w:name w:val="Footer Char1"/>
    <w:uiPriority w:val="99"/>
    <w:rsid w:val="00FF2BCB"/>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834">
      <w:bodyDiv w:val="1"/>
      <w:marLeft w:val="0"/>
      <w:marRight w:val="0"/>
      <w:marTop w:val="0"/>
      <w:marBottom w:val="0"/>
      <w:divBdr>
        <w:top w:val="none" w:sz="0" w:space="0" w:color="auto"/>
        <w:left w:val="none" w:sz="0" w:space="0" w:color="auto"/>
        <w:bottom w:val="none" w:sz="0" w:space="0" w:color="auto"/>
        <w:right w:val="none" w:sz="0" w:space="0" w:color="auto"/>
      </w:divBdr>
    </w:div>
    <w:div w:id="155457934">
      <w:bodyDiv w:val="1"/>
      <w:marLeft w:val="0"/>
      <w:marRight w:val="0"/>
      <w:marTop w:val="0"/>
      <w:marBottom w:val="0"/>
      <w:divBdr>
        <w:top w:val="none" w:sz="0" w:space="0" w:color="auto"/>
        <w:left w:val="none" w:sz="0" w:space="0" w:color="auto"/>
        <w:bottom w:val="none" w:sz="0" w:space="0" w:color="auto"/>
        <w:right w:val="none" w:sz="0" w:space="0" w:color="auto"/>
      </w:divBdr>
      <w:divsChild>
        <w:div w:id="751588534">
          <w:marLeft w:val="0"/>
          <w:marRight w:val="0"/>
          <w:marTop w:val="0"/>
          <w:marBottom w:val="0"/>
          <w:divBdr>
            <w:top w:val="none" w:sz="0" w:space="0" w:color="auto"/>
            <w:left w:val="none" w:sz="0" w:space="0" w:color="auto"/>
            <w:bottom w:val="none" w:sz="0" w:space="0" w:color="auto"/>
            <w:right w:val="none" w:sz="0" w:space="0" w:color="auto"/>
          </w:divBdr>
          <w:divsChild>
            <w:div w:id="1249582887">
              <w:marLeft w:val="0"/>
              <w:marRight w:val="0"/>
              <w:marTop w:val="0"/>
              <w:marBottom w:val="0"/>
              <w:divBdr>
                <w:top w:val="none" w:sz="0" w:space="0" w:color="auto"/>
                <w:left w:val="none" w:sz="0" w:space="0" w:color="auto"/>
                <w:bottom w:val="none" w:sz="0" w:space="0" w:color="auto"/>
                <w:right w:val="none" w:sz="0" w:space="0" w:color="auto"/>
              </w:divBdr>
              <w:divsChild>
                <w:div w:id="64226950">
                  <w:marLeft w:val="0"/>
                  <w:marRight w:val="0"/>
                  <w:marTop w:val="0"/>
                  <w:marBottom w:val="0"/>
                  <w:divBdr>
                    <w:top w:val="none" w:sz="0" w:space="0" w:color="auto"/>
                    <w:left w:val="none" w:sz="0" w:space="0" w:color="auto"/>
                    <w:bottom w:val="none" w:sz="0" w:space="0" w:color="auto"/>
                    <w:right w:val="none" w:sz="0" w:space="0" w:color="auto"/>
                  </w:divBdr>
                  <w:divsChild>
                    <w:div w:id="3122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9331">
          <w:marLeft w:val="0"/>
          <w:marRight w:val="0"/>
          <w:marTop w:val="0"/>
          <w:marBottom w:val="0"/>
          <w:divBdr>
            <w:top w:val="none" w:sz="0" w:space="0" w:color="auto"/>
            <w:left w:val="none" w:sz="0" w:space="0" w:color="auto"/>
            <w:bottom w:val="none" w:sz="0" w:space="0" w:color="auto"/>
            <w:right w:val="none" w:sz="0" w:space="0" w:color="auto"/>
          </w:divBdr>
          <w:divsChild>
            <w:div w:id="1613394123">
              <w:marLeft w:val="0"/>
              <w:marRight w:val="0"/>
              <w:marTop w:val="0"/>
              <w:marBottom w:val="0"/>
              <w:divBdr>
                <w:top w:val="none" w:sz="0" w:space="0" w:color="auto"/>
                <w:left w:val="none" w:sz="0" w:space="0" w:color="auto"/>
                <w:bottom w:val="none" w:sz="0" w:space="0" w:color="auto"/>
                <w:right w:val="none" w:sz="0" w:space="0" w:color="auto"/>
              </w:divBdr>
              <w:divsChild>
                <w:div w:id="1412240334">
                  <w:marLeft w:val="0"/>
                  <w:marRight w:val="0"/>
                  <w:marTop w:val="0"/>
                  <w:marBottom w:val="0"/>
                  <w:divBdr>
                    <w:top w:val="none" w:sz="0" w:space="0" w:color="auto"/>
                    <w:left w:val="none" w:sz="0" w:space="0" w:color="auto"/>
                    <w:bottom w:val="none" w:sz="0" w:space="0" w:color="auto"/>
                    <w:right w:val="none" w:sz="0" w:space="0" w:color="auto"/>
                  </w:divBdr>
                  <w:divsChild>
                    <w:div w:id="646202869">
                      <w:marLeft w:val="0"/>
                      <w:marRight w:val="0"/>
                      <w:marTop w:val="0"/>
                      <w:marBottom w:val="0"/>
                      <w:divBdr>
                        <w:top w:val="none" w:sz="0" w:space="0" w:color="auto"/>
                        <w:left w:val="none" w:sz="0" w:space="0" w:color="auto"/>
                        <w:bottom w:val="none" w:sz="0" w:space="0" w:color="auto"/>
                        <w:right w:val="none" w:sz="0" w:space="0" w:color="auto"/>
                      </w:divBdr>
                      <w:divsChild>
                        <w:div w:id="289215013">
                          <w:marLeft w:val="0"/>
                          <w:marRight w:val="0"/>
                          <w:marTop w:val="0"/>
                          <w:marBottom w:val="0"/>
                          <w:divBdr>
                            <w:top w:val="none" w:sz="0" w:space="0" w:color="auto"/>
                            <w:left w:val="none" w:sz="0" w:space="0" w:color="auto"/>
                            <w:bottom w:val="none" w:sz="0" w:space="0" w:color="auto"/>
                            <w:right w:val="none" w:sz="0" w:space="0" w:color="auto"/>
                          </w:divBdr>
                          <w:divsChild>
                            <w:div w:id="18608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75300">
      <w:bodyDiv w:val="1"/>
      <w:marLeft w:val="0"/>
      <w:marRight w:val="0"/>
      <w:marTop w:val="0"/>
      <w:marBottom w:val="0"/>
      <w:divBdr>
        <w:top w:val="none" w:sz="0" w:space="0" w:color="auto"/>
        <w:left w:val="none" w:sz="0" w:space="0" w:color="auto"/>
        <w:bottom w:val="none" w:sz="0" w:space="0" w:color="auto"/>
        <w:right w:val="none" w:sz="0" w:space="0" w:color="auto"/>
      </w:divBdr>
    </w:div>
    <w:div w:id="1263076501">
      <w:bodyDiv w:val="1"/>
      <w:marLeft w:val="0"/>
      <w:marRight w:val="0"/>
      <w:marTop w:val="0"/>
      <w:marBottom w:val="0"/>
      <w:divBdr>
        <w:top w:val="none" w:sz="0" w:space="0" w:color="auto"/>
        <w:left w:val="none" w:sz="0" w:space="0" w:color="auto"/>
        <w:bottom w:val="none" w:sz="0" w:space="0" w:color="auto"/>
        <w:right w:val="none" w:sz="0" w:space="0" w:color="auto"/>
      </w:divBdr>
      <w:divsChild>
        <w:div w:id="1199201799">
          <w:marLeft w:val="0"/>
          <w:marRight w:val="0"/>
          <w:marTop w:val="0"/>
          <w:marBottom w:val="0"/>
          <w:divBdr>
            <w:top w:val="none" w:sz="0" w:space="0" w:color="auto"/>
            <w:left w:val="none" w:sz="0" w:space="0" w:color="auto"/>
            <w:bottom w:val="none" w:sz="0" w:space="0" w:color="auto"/>
            <w:right w:val="none" w:sz="0" w:space="0" w:color="auto"/>
          </w:divBdr>
        </w:div>
        <w:div w:id="1218585726">
          <w:marLeft w:val="0"/>
          <w:marRight w:val="0"/>
          <w:marTop w:val="0"/>
          <w:marBottom w:val="0"/>
          <w:divBdr>
            <w:top w:val="none" w:sz="0" w:space="0" w:color="auto"/>
            <w:left w:val="none" w:sz="0" w:space="0" w:color="auto"/>
            <w:bottom w:val="none" w:sz="0" w:space="0" w:color="auto"/>
            <w:right w:val="none" w:sz="0" w:space="0" w:color="auto"/>
          </w:divBdr>
        </w:div>
        <w:div w:id="318073867">
          <w:marLeft w:val="0"/>
          <w:marRight w:val="0"/>
          <w:marTop w:val="0"/>
          <w:marBottom w:val="0"/>
          <w:divBdr>
            <w:top w:val="none" w:sz="0" w:space="0" w:color="auto"/>
            <w:left w:val="none" w:sz="0" w:space="0" w:color="auto"/>
            <w:bottom w:val="none" w:sz="0" w:space="0" w:color="auto"/>
            <w:right w:val="none" w:sz="0" w:space="0" w:color="auto"/>
          </w:divBdr>
        </w:div>
        <w:div w:id="2017464445">
          <w:marLeft w:val="0"/>
          <w:marRight w:val="0"/>
          <w:marTop w:val="0"/>
          <w:marBottom w:val="0"/>
          <w:divBdr>
            <w:top w:val="none" w:sz="0" w:space="0" w:color="auto"/>
            <w:left w:val="none" w:sz="0" w:space="0" w:color="auto"/>
            <w:bottom w:val="none" w:sz="0" w:space="0" w:color="auto"/>
            <w:right w:val="none" w:sz="0" w:space="0" w:color="auto"/>
          </w:divBdr>
        </w:div>
        <w:div w:id="711078687">
          <w:marLeft w:val="0"/>
          <w:marRight w:val="0"/>
          <w:marTop w:val="0"/>
          <w:marBottom w:val="0"/>
          <w:divBdr>
            <w:top w:val="none" w:sz="0" w:space="0" w:color="auto"/>
            <w:left w:val="none" w:sz="0" w:space="0" w:color="auto"/>
            <w:bottom w:val="none" w:sz="0" w:space="0" w:color="auto"/>
            <w:right w:val="none" w:sz="0" w:space="0" w:color="auto"/>
          </w:divBdr>
        </w:div>
        <w:div w:id="1024477788">
          <w:marLeft w:val="0"/>
          <w:marRight w:val="0"/>
          <w:marTop w:val="0"/>
          <w:marBottom w:val="0"/>
          <w:divBdr>
            <w:top w:val="none" w:sz="0" w:space="0" w:color="auto"/>
            <w:left w:val="none" w:sz="0" w:space="0" w:color="auto"/>
            <w:bottom w:val="none" w:sz="0" w:space="0" w:color="auto"/>
            <w:right w:val="none" w:sz="0" w:space="0" w:color="auto"/>
          </w:divBdr>
        </w:div>
        <w:div w:id="965159027">
          <w:marLeft w:val="0"/>
          <w:marRight w:val="0"/>
          <w:marTop w:val="0"/>
          <w:marBottom w:val="0"/>
          <w:divBdr>
            <w:top w:val="none" w:sz="0" w:space="0" w:color="auto"/>
            <w:left w:val="none" w:sz="0" w:space="0" w:color="auto"/>
            <w:bottom w:val="none" w:sz="0" w:space="0" w:color="auto"/>
            <w:right w:val="none" w:sz="0" w:space="0" w:color="auto"/>
          </w:divBdr>
        </w:div>
      </w:divsChild>
    </w:div>
    <w:div w:id="1348171473">
      <w:marLeft w:val="0"/>
      <w:marRight w:val="0"/>
      <w:marTop w:val="0"/>
      <w:marBottom w:val="0"/>
      <w:divBdr>
        <w:top w:val="none" w:sz="0" w:space="0" w:color="auto"/>
        <w:left w:val="none" w:sz="0" w:space="0" w:color="auto"/>
        <w:bottom w:val="none" w:sz="0" w:space="0" w:color="auto"/>
        <w:right w:val="none" w:sz="0" w:space="0" w:color="auto"/>
      </w:divBdr>
    </w:div>
    <w:div w:id="1348171475">
      <w:marLeft w:val="0"/>
      <w:marRight w:val="0"/>
      <w:marTop w:val="0"/>
      <w:marBottom w:val="0"/>
      <w:divBdr>
        <w:top w:val="none" w:sz="0" w:space="0" w:color="auto"/>
        <w:left w:val="none" w:sz="0" w:space="0" w:color="auto"/>
        <w:bottom w:val="none" w:sz="0" w:space="0" w:color="auto"/>
        <w:right w:val="none" w:sz="0" w:space="0" w:color="auto"/>
      </w:divBdr>
    </w:div>
    <w:div w:id="134817147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1348171479">
      <w:marLeft w:val="0"/>
      <w:marRight w:val="0"/>
      <w:marTop w:val="0"/>
      <w:marBottom w:val="0"/>
      <w:divBdr>
        <w:top w:val="none" w:sz="0" w:space="0" w:color="auto"/>
        <w:left w:val="none" w:sz="0" w:space="0" w:color="auto"/>
        <w:bottom w:val="none" w:sz="0" w:space="0" w:color="auto"/>
        <w:right w:val="none" w:sz="0" w:space="0" w:color="auto"/>
      </w:divBdr>
      <w:divsChild>
        <w:div w:id="1348171476">
          <w:marLeft w:val="706"/>
          <w:marRight w:val="0"/>
          <w:marTop w:val="0"/>
          <w:marBottom w:val="220"/>
          <w:divBdr>
            <w:top w:val="none" w:sz="0" w:space="0" w:color="auto"/>
            <w:left w:val="none" w:sz="0" w:space="0" w:color="auto"/>
            <w:bottom w:val="none" w:sz="0" w:space="0" w:color="auto"/>
            <w:right w:val="none" w:sz="0" w:space="0" w:color="auto"/>
          </w:divBdr>
        </w:div>
        <w:div w:id="1348171480">
          <w:marLeft w:val="706"/>
          <w:marRight w:val="0"/>
          <w:marTop w:val="0"/>
          <w:marBottom w:val="220"/>
          <w:divBdr>
            <w:top w:val="none" w:sz="0" w:space="0" w:color="auto"/>
            <w:left w:val="none" w:sz="0" w:space="0" w:color="auto"/>
            <w:bottom w:val="none" w:sz="0" w:space="0" w:color="auto"/>
            <w:right w:val="none" w:sz="0" w:space="0" w:color="auto"/>
          </w:divBdr>
        </w:div>
      </w:divsChild>
    </w:div>
    <w:div w:id="1348171481">
      <w:marLeft w:val="0"/>
      <w:marRight w:val="0"/>
      <w:marTop w:val="0"/>
      <w:marBottom w:val="0"/>
      <w:divBdr>
        <w:top w:val="none" w:sz="0" w:space="0" w:color="auto"/>
        <w:left w:val="none" w:sz="0" w:space="0" w:color="auto"/>
        <w:bottom w:val="none" w:sz="0" w:space="0" w:color="auto"/>
        <w:right w:val="none" w:sz="0" w:space="0" w:color="auto"/>
      </w:divBdr>
      <w:divsChild>
        <w:div w:id="1348171472">
          <w:marLeft w:val="374"/>
          <w:marRight w:val="0"/>
          <w:marTop w:val="0"/>
          <w:marBottom w:val="220"/>
          <w:divBdr>
            <w:top w:val="none" w:sz="0" w:space="0" w:color="auto"/>
            <w:left w:val="none" w:sz="0" w:space="0" w:color="auto"/>
            <w:bottom w:val="none" w:sz="0" w:space="0" w:color="auto"/>
            <w:right w:val="none" w:sz="0" w:space="0" w:color="auto"/>
          </w:divBdr>
        </w:div>
      </w:divsChild>
    </w:div>
    <w:div w:id="1348171482">
      <w:marLeft w:val="0"/>
      <w:marRight w:val="0"/>
      <w:marTop w:val="0"/>
      <w:marBottom w:val="0"/>
      <w:divBdr>
        <w:top w:val="none" w:sz="0" w:space="0" w:color="auto"/>
        <w:left w:val="none" w:sz="0" w:space="0" w:color="auto"/>
        <w:bottom w:val="none" w:sz="0" w:space="0" w:color="auto"/>
        <w:right w:val="none" w:sz="0" w:space="0" w:color="auto"/>
      </w:divBdr>
      <w:divsChild>
        <w:div w:id="1348171474">
          <w:marLeft w:val="374"/>
          <w:marRight w:val="0"/>
          <w:marTop w:val="0"/>
          <w:marBottom w:val="220"/>
          <w:divBdr>
            <w:top w:val="none" w:sz="0" w:space="0" w:color="auto"/>
            <w:left w:val="none" w:sz="0" w:space="0" w:color="auto"/>
            <w:bottom w:val="none" w:sz="0" w:space="0" w:color="auto"/>
            <w:right w:val="none" w:sz="0" w:space="0" w:color="auto"/>
          </w:divBdr>
        </w:div>
      </w:divsChild>
    </w:div>
    <w:div w:id="1348171483">
      <w:marLeft w:val="0"/>
      <w:marRight w:val="0"/>
      <w:marTop w:val="0"/>
      <w:marBottom w:val="0"/>
      <w:divBdr>
        <w:top w:val="none" w:sz="0" w:space="0" w:color="auto"/>
        <w:left w:val="none" w:sz="0" w:space="0" w:color="auto"/>
        <w:bottom w:val="none" w:sz="0" w:space="0" w:color="auto"/>
        <w:right w:val="none" w:sz="0" w:space="0" w:color="auto"/>
      </w:divBdr>
    </w:div>
    <w:div w:id="1348171484">
      <w:marLeft w:val="0"/>
      <w:marRight w:val="0"/>
      <w:marTop w:val="0"/>
      <w:marBottom w:val="0"/>
      <w:divBdr>
        <w:top w:val="none" w:sz="0" w:space="0" w:color="auto"/>
        <w:left w:val="none" w:sz="0" w:space="0" w:color="auto"/>
        <w:bottom w:val="none" w:sz="0" w:space="0" w:color="auto"/>
        <w:right w:val="none" w:sz="0" w:space="0" w:color="auto"/>
      </w:divBdr>
    </w:div>
    <w:div w:id="1348171485">
      <w:marLeft w:val="0"/>
      <w:marRight w:val="0"/>
      <w:marTop w:val="0"/>
      <w:marBottom w:val="0"/>
      <w:divBdr>
        <w:top w:val="none" w:sz="0" w:space="0" w:color="auto"/>
        <w:left w:val="none" w:sz="0" w:space="0" w:color="auto"/>
        <w:bottom w:val="none" w:sz="0" w:space="0" w:color="auto"/>
        <w:right w:val="none" w:sz="0" w:space="0" w:color="auto"/>
      </w:divBdr>
    </w:div>
    <w:div w:id="1348171486">
      <w:marLeft w:val="0"/>
      <w:marRight w:val="0"/>
      <w:marTop w:val="0"/>
      <w:marBottom w:val="0"/>
      <w:divBdr>
        <w:top w:val="none" w:sz="0" w:space="0" w:color="auto"/>
        <w:left w:val="none" w:sz="0" w:space="0" w:color="auto"/>
        <w:bottom w:val="none" w:sz="0" w:space="0" w:color="auto"/>
        <w:right w:val="none" w:sz="0" w:space="0" w:color="auto"/>
      </w:divBdr>
    </w:div>
    <w:div w:id="1348171487">
      <w:marLeft w:val="0"/>
      <w:marRight w:val="0"/>
      <w:marTop w:val="0"/>
      <w:marBottom w:val="0"/>
      <w:divBdr>
        <w:top w:val="none" w:sz="0" w:space="0" w:color="auto"/>
        <w:left w:val="none" w:sz="0" w:space="0" w:color="auto"/>
        <w:bottom w:val="none" w:sz="0" w:space="0" w:color="auto"/>
        <w:right w:val="none" w:sz="0" w:space="0" w:color="auto"/>
      </w:divBdr>
      <w:divsChild>
        <w:div w:id="1348171471">
          <w:marLeft w:val="374"/>
          <w:marRight w:val="0"/>
          <w:marTop w:val="0"/>
          <w:marBottom w:val="220"/>
          <w:divBdr>
            <w:top w:val="none" w:sz="0" w:space="0" w:color="auto"/>
            <w:left w:val="none" w:sz="0" w:space="0" w:color="auto"/>
            <w:bottom w:val="none" w:sz="0" w:space="0" w:color="auto"/>
            <w:right w:val="none" w:sz="0" w:space="0" w:color="auto"/>
          </w:divBdr>
        </w:div>
      </w:divsChild>
    </w:div>
    <w:div w:id="1514419922">
      <w:bodyDiv w:val="1"/>
      <w:marLeft w:val="0"/>
      <w:marRight w:val="0"/>
      <w:marTop w:val="0"/>
      <w:marBottom w:val="0"/>
      <w:divBdr>
        <w:top w:val="none" w:sz="0" w:space="0" w:color="auto"/>
        <w:left w:val="none" w:sz="0" w:space="0" w:color="auto"/>
        <w:bottom w:val="none" w:sz="0" w:space="0" w:color="auto"/>
        <w:right w:val="none" w:sz="0" w:space="0" w:color="auto"/>
      </w:divBdr>
    </w:div>
    <w:div w:id="16364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face.com" TargetMode="External"/><Relationship Id="rId4" Type="http://schemas.microsoft.com/office/2007/relationships/stylesWithEffects" Target="stylesWithEffects.xml"/><Relationship Id="rId9" Type="http://schemas.openxmlformats.org/officeDocument/2006/relationships/hyperlink" Target="mailto:emilia.muscalu@cofac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CCF5-00C4-4E8A-ADB3-95D62CD1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1004</Words>
  <Characters>5478</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Paris, 21 janvier 2013</vt:lpstr>
      <vt:lpstr>Paris, 21 janvier 2013</vt:lpstr>
      <vt:lpstr>Paris, 21 janvier 2013</vt:lpstr>
    </vt:vector>
  </TitlesOfParts>
  <Company>COFACE</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creator>KRELLENSTEIN Maria</dc:creator>
  <cp:lastModifiedBy>MUSCALU Emilia</cp:lastModifiedBy>
  <cp:revision>11</cp:revision>
  <cp:lastPrinted>2015-04-29T07:17:00Z</cp:lastPrinted>
  <dcterms:created xsi:type="dcterms:W3CDTF">2015-04-29T07:19:00Z</dcterms:created>
  <dcterms:modified xsi:type="dcterms:W3CDTF">2015-05-20T11:00:00Z</dcterms:modified>
</cp:coreProperties>
</file>