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3A" w:rsidRPr="0064738E" w:rsidRDefault="00E35C86" w:rsidP="003A4DA2">
      <w:pPr>
        <w:pStyle w:val="Default"/>
        <w:widowControl/>
        <w:tabs>
          <w:tab w:val="right" w:pos="10080"/>
        </w:tabs>
        <w:suppressAutoHyphens/>
        <w:spacing w:after="120"/>
        <w:jc w:val="both"/>
        <w:rPr>
          <w:sz w:val="20"/>
          <w:szCs w:val="20"/>
          <w:lang w:val="ro-RO"/>
        </w:rPr>
      </w:pPr>
      <w:r w:rsidRPr="0064738E">
        <w:rPr>
          <w:sz w:val="20"/>
          <w:szCs w:val="20"/>
          <w:lang w:val="ro-RO"/>
        </w:rPr>
        <w:t>Bucure</w:t>
      </w:r>
      <w:r w:rsidR="00516A5C">
        <w:rPr>
          <w:sz w:val="20"/>
          <w:szCs w:val="20"/>
          <w:lang w:val="ro-RO"/>
        </w:rPr>
        <w:t>s</w:t>
      </w:r>
      <w:r w:rsidRPr="0064738E">
        <w:rPr>
          <w:sz w:val="20"/>
          <w:szCs w:val="20"/>
          <w:lang w:val="ro-RO"/>
        </w:rPr>
        <w:t xml:space="preserve">ti, </w:t>
      </w:r>
      <w:r w:rsidR="00B00A0B">
        <w:rPr>
          <w:sz w:val="20"/>
          <w:szCs w:val="20"/>
          <w:lang w:val="ro-RO"/>
        </w:rPr>
        <w:t>13</w:t>
      </w:r>
      <w:r w:rsidR="007409A1">
        <w:rPr>
          <w:sz w:val="20"/>
          <w:szCs w:val="20"/>
          <w:lang w:val="ro-RO"/>
        </w:rPr>
        <w:t xml:space="preserve"> august</w:t>
      </w:r>
      <w:r w:rsidR="006C393A" w:rsidRPr="0064738E">
        <w:rPr>
          <w:sz w:val="20"/>
          <w:szCs w:val="20"/>
          <w:lang w:val="ro-RO"/>
        </w:rPr>
        <w:t xml:space="preserve"> 2019 </w:t>
      </w:r>
    </w:p>
    <w:p w:rsidR="00502508" w:rsidRDefault="00502508" w:rsidP="003A4DA2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B00A0B" w:rsidRPr="00DA7D2A" w:rsidRDefault="00E77A42" w:rsidP="00945385">
      <w:p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64738E">
        <w:rPr>
          <w:rFonts w:ascii="Arial" w:hAnsi="Arial" w:cs="Arial"/>
          <w:b/>
          <w:sz w:val="26"/>
          <w:szCs w:val="26"/>
          <w:lang w:val="en-US"/>
        </w:rPr>
        <w:t>Studiu</w:t>
      </w:r>
      <w:proofErr w:type="spellEnd"/>
      <w:r w:rsidRPr="0064738E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64738E">
        <w:rPr>
          <w:rFonts w:ascii="Arial" w:hAnsi="Arial" w:cs="Arial"/>
          <w:b/>
          <w:sz w:val="26"/>
          <w:szCs w:val="26"/>
          <w:lang w:val="en-US"/>
        </w:rPr>
        <w:t>Coface</w:t>
      </w:r>
      <w:proofErr w:type="spellEnd"/>
      <w:r w:rsidR="00DA7D2A">
        <w:rPr>
          <w:rFonts w:ascii="Arial" w:hAnsi="Arial" w:cs="Arial"/>
          <w:b/>
          <w:sz w:val="26"/>
          <w:szCs w:val="26"/>
          <w:lang w:val="en-US"/>
        </w:rPr>
        <w:t xml:space="preserve">: </w:t>
      </w:r>
      <w:proofErr w:type="spellStart"/>
      <w:r w:rsidR="00DA7D2A">
        <w:rPr>
          <w:rFonts w:ascii="Arial" w:hAnsi="Arial" w:cs="Arial"/>
          <w:b/>
          <w:sz w:val="26"/>
          <w:szCs w:val="26"/>
          <w:lang w:val="en-US"/>
        </w:rPr>
        <w:t>Venituri</w:t>
      </w:r>
      <w:proofErr w:type="spellEnd"/>
      <w:r w:rsidR="00DA7D2A">
        <w:rPr>
          <w:rFonts w:ascii="Arial" w:hAnsi="Arial" w:cs="Arial"/>
          <w:b/>
          <w:sz w:val="26"/>
          <w:szCs w:val="26"/>
          <w:lang w:val="en-US"/>
        </w:rPr>
        <w:t xml:space="preserve"> in </w:t>
      </w:r>
      <w:proofErr w:type="spellStart"/>
      <w:r w:rsidR="00DA7D2A">
        <w:rPr>
          <w:rFonts w:ascii="Arial" w:hAnsi="Arial" w:cs="Arial"/>
          <w:b/>
          <w:sz w:val="26"/>
          <w:szCs w:val="26"/>
          <w:lang w:val="en-US"/>
        </w:rPr>
        <w:t>cre</w:t>
      </w:r>
      <w:r w:rsidR="00516A5C">
        <w:rPr>
          <w:rFonts w:ascii="Arial" w:hAnsi="Arial" w:cs="Arial"/>
          <w:b/>
          <w:sz w:val="26"/>
          <w:szCs w:val="26"/>
          <w:lang w:val="en-US"/>
        </w:rPr>
        <w:t>s</w:t>
      </w:r>
      <w:r w:rsidR="00DA7D2A">
        <w:rPr>
          <w:rFonts w:ascii="Arial" w:hAnsi="Arial" w:cs="Arial"/>
          <w:b/>
          <w:sz w:val="26"/>
          <w:szCs w:val="26"/>
          <w:lang w:val="en-US"/>
        </w:rPr>
        <w:t>tere</w:t>
      </w:r>
      <w:proofErr w:type="spellEnd"/>
      <w:r w:rsidR="00DA7D2A">
        <w:rPr>
          <w:rFonts w:ascii="Arial" w:hAnsi="Arial" w:cs="Arial"/>
          <w:b/>
          <w:sz w:val="26"/>
          <w:szCs w:val="26"/>
          <w:lang w:val="en-US"/>
        </w:rPr>
        <w:t xml:space="preserve"> cu 4% </w:t>
      </w:r>
      <w:proofErr w:type="spellStart"/>
      <w:r w:rsidR="00DA7D2A">
        <w:rPr>
          <w:rFonts w:ascii="Arial" w:hAnsi="Arial" w:cs="Arial"/>
          <w:b/>
          <w:sz w:val="26"/>
          <w:szCs w:val="26"/>
          <w:lang w:val="en-US"/>
        </w:rPr>
        <w:t>pentru</w:t>
      </w:r>
      <w:proofErr w:type="spellEnd"/>
      <w:r w:rsidR="00DA7D2A">
        <w:rPr>
          <w:rFonts w:ascii="Arial" w:hAnsi="Arial" w:cs="Arial"/>
          <w:b/>
          <w:sz w:val="26"/>
          <w:szCs w:val="26"/>
          <w:lang w:val="en-US"/>
        </w:rPr>
        <w:t xml:space="preserve"> comer</w:t>
      </w:r>
      <w:r w:rsidR="00516A5C">
        <w:rPr>
          <w:rFonts w:ascii="Arial" w:hAnsi="Arial" w:cs="Arial"/>
          <w:b/>
          <w:sz w:val="26"/>
          <w:szCs w:val="26"/>
        </w:rPr>
        <w:t>t</w:t>
      </w:r>
      <w:r w:rsidR="00DA7D2A">
        <w:rPr>
          <w:rFonts w:ascii="Arial" w:hAnsi="Arial" w:cs="Arial"/>
          <w:b/>
          <w:sz w:val="26"/>
          <w:szCs w:val="26"/>
        </w:rPr>
        <w:t>ul cu ridicata al produselor farmaceutice</w:t>
      </w:r>
    </w:p>
    <w:p w:rsidR="00B00A0B" w:rsidRDefault="00B00A0B" w:rsidP="00945385">
      <w:pPr>
        <w:spacing w:after="120" w:line="240" w:lineRule="auto"/>
        <w:jc w:val="both"/>
        <w:rPr>
          <w:rFonts w:ascii="Arial" w:hAnsi="Arial" w:cs="Arial"/>
          <w:sz w:val="20"/>
          <w:lang w:val="en-US"/>
        </w:rPr>
      </w:pPr>
    </w:p>
    <w:p w:rsidR="00DA7D2A" w:rsidRDefault="00DA7D2A" w:rsidP="00945385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DA7D2A">
        <w:rPr>
          <w:rFonts w:ascii="Arial" w:hAnsi="Arial" w:cs="Arial"/>
          <w:b/>
          <w:lang w:val="en-US"/>
        </w:rPr>
        <w:t>Un</w:t>
      </w:r>
      <w:proofErr w:type="gramEnd"/>
      <w:r w:rsidRPr="00DA7D2A">
        <w:rPr>
          <w:rFonts w:ascii="Arial" w:hAnsi="Arial" w:cs="Arial"/>
          <w:b/>
          <w:lang w:val="en-US"/>
        </w:rPr>
        <w:t xml:space="preserve"> </w:t>
      </w:r>
      <w:proofErr w:type="spellStart"/>
      <w:r w:rsidRPr="00DA7D2A">
        <w:rPr>
          <w:rFonts w:ascii="Arial" w:hAnsi="Arial" w:cs="Arial"/>
          <w:b/>
          <w:lang w:val="en-US"/>
        </w:rPr>
        <w:t>nou</w:t>
      </w:r>
      <w:proofErr w:type="spellEnd"/>
      <w:r w:rsidRPr="00DA7D2A">
        <w:rPr>
          <w:rFonts w:ascii="Arial" w:hAnsi="Arial" w:cs="Arial"/>
          <w:b/>
          <w:lang w:val="en-US"/>
        </w:rPr>
        <w:t xml:space="preserve"> </w:t>
      </w:r>
      <w:proofErr w:type="spellStart"/>
      <w:r w:rsidRPr="00DA7D2A">
        <w:rPr>
          <w:rFonts w:ascii="Arial" w:hAnsi="Arial" w:cs="Arial"/>
          <w:b/>
          <w:lang w:val="en-US"/>
        </w:rPr>
        <w:t>Studiu</w:t>
      </w:r>
      <w:proofErr w:type="spellEnd"/>
      <w:r w:rsidRPr="00DA7D2A">
        <w:rPr>
          <w:rFonts w:ascii="Arial" w:hAnsi="Arial" w:cs="Arial"/>
          <w:b/>
          <w:lang w:val="en-US"/>
        </w:rPr>
        <w:t xml:space="preserve"> </w:t>
      </w:r>
      <w:proofErr w:type="spellStart"/>
      <w:r w:rsidRPr="00DA7D2A">
        <w:rPr>
          <w:rFonts w:ascii="Arial" w:hAnsi="Arial" w:cs="Arial"/>
          <w:b/>
          <w:lang w:val="en-US"/>
        </w:rPr>
        <w:t>real</w:t>
      </w:r>
      <w:r w:rsidR="002A511A">
        <w:rPr>
          <w:rFonts w:ascii="Arial" w:hAnsi="Arial" w:cs="Arial"/>
          <w:b/>
          <w:lang w:val="en-US"/>
        </w:rPr>
        <w:t>izat</w:t>
      </w:r>
      <w:proofErr w:type="spellEnd"/>
      <w:r w:rsidR="002A511A">
        <w:rPr>
          <w:rFonts w:ascii="Arial" w:hAnsi="Arial" w:cs="Arial"/>
          <w:b/>
          <w:lang w:val="en-US"/>
        </w:rPr>
        <w:t xml:space="preserve"> de </w:t>
      </w:r>
      <w:proofErr w:type="spellStart"/>
      <w:r w:rsidR="002A511A">
        <w:rPr>
          <w:rFonts w:ascii="Arial" w:hAnsi="Arial" w:cs="Arial"/>
          <w:b/>
          <w:lang w:val="en-US"/>
        </w:rPr>
        <w:t>Coface</w:t>
      </w:r>
      <w:proofErr w:type="spellEnd"/>
      <w:r w:rsidR="002A511A">
        <w:rPr>
          <w:rFonts w:ascii="Arial" w:hAnsi="Arial" w:cs="Arial"/>
          <w:b/>
          <w:lang w:val="en-US"/>
        </w:rPr>
        <w:t xml:space="preserve"> Rom</w:t>
      </w:r>
      <w:r w:rsidR="00516A5C">
        <w:rPr>
          <w:rFonts w:ascii="Arial" w:hAnsi="Arial" w:cs="Arial"/>
          <w:b/>
          <w:lang w:val="en-US"/>
        </w:rPr>
        <w:t>a</w:t>
      </w:r>
      <w:r w:rsidR="002A511A">
        <w:rPr>
          <w:rFonts w:ascii="Arial" w:hAnsi="Arial" w:cs="Arial"/>
          <w:b/>
          <w:lang w:val="en-US"/>
        </w:rPr>
        <w:t xml:space="preserve">nia </w:t>
      </w:r>
      <w:proofErr w:type="spellStart"/>
      <w:r w:rsidR="002A511A">
        <w:rPr>
          <w:rFonts w:ascii="Arial" w:hAnsi="Arial" w:cs="Arial"/>
          <w:b/>
          <w:lang w:val="en-US"/>
        </w:rPr>
        <w:t>privind</w:t>
      </w:r>
      <w:proofErr w:type="spellEnd"/>
      <w:r w:rsidR="002A511A">
        <w:rPr>
          <w:rFonts w:ascii="Arial" w:hAnsi="Arial" w:cs="Arial"/>
          <w:b/>
          <w:lang w:val="en-US"/>
        </w:rPr>
        <w:t xml:space="preserve"> </w:t>
      </w:r>
      <w:proofErr w:type="spellStart"/>
      <w:r w:rsidR="002A511A">
        <w:rPr>
          <w:rFonts w:ascii="Arial" w:hAnsi="Arial" w:cs="Arial"/>
          <w:b/>
          <w:lang w:val="en-US"/>
        </w:rPr>
        <w:t>C</w:t>
      </w:r>
      <w:r w:rsidRPr="00DA7D2A">
        <w:rPr>
          <w:rFonts w:ascii="Arial" w:hAnsi="Arial" w:cs="Arial"/>
          <w:b/>
          <w:lang w:val="en-US"/>
        </w:rPr>
        <w:t>omer</w:t>
      </w:r>
      <w:r w:rsidR="00516A5C">
        <w:rPr>
          <w:rFonts w:ascii="Arial" w:hAnsi="Arial" w:cs="Arial"/>
          <w:b/>
          <w:lang w:val="en-US"/>
        </w:rPr>
        <w:t>t</w:t>
      </w:r>
      <w:r w:rsidRPr="00DA7D2A">
        <w:rPr>
          <w:rFonts w:ascii="Arial" w:hAnsi="Arial" w:cs="Arial"/>
          <w:b/>
          <w:lang w:val="en-US"/>
        </w:rPr>
        <w:t>ul</w:t>
      </w:r>
      <w:proofErr w:type="spellEnd"/>
      <w:r w:rsidRPr="00DA7D2A">
        <w:rPr>
          <w:rFonts w:ascii="Arial" w:hAnsi="Arial" w:cs="Arial"/>
          <w:b/>
          <w:lang w:val="en-US"/>
        </w:rPr>
        <w:t xml:space="preserve"> cu </w:t>
      </w:r>
      <w:proofErr w:type="spellStart"/>
      <w:r w:rsidRPr="00DA7D2A">
        <w:rPr>
          <w:rFonts w:ascii="Arial" w:hAnsi="Arial" w:cs="Arial"/>
          <w:b/>
          <w:lang w:val="en-US"/>
        </w:rPr>
        <w:t>ridicata</w:t>
      </w:r>
      <w:proofErr w:type="spellEnd"/>
      <w:r w:rsidRPr="00DA7D2A">
        <w:rPr>
          <w:rFonts w:ascii="Arial" w:hAnsi="Arial" w:cs="Arial"/>
          <w:b/>
          <w:lang w:val="en-US"/>
        </w:rPr>
        <w:t xml:space="preserve"> al </w:t>
      </w:r>
      <w:proofErr w:type="spellStart"/>
      <w:r w:rsidRPr="00DA7D2A">
        <w:rPr>
          <w:rFonts w:ascii="Arial" w:hAnsi="Arial" w:cs="Arial"/>
          <w:b/>
          <w:lang w:val="en-US"/>
        </w:rPr>
        <w:t>produselor</w:t>
      </w:r>
      <w:proofErr w:type="spellEnd"/>
      <w:r w:rsidRPr="00DA7D2A">
        <w:rPr>
          <w:rFonts w:ascii="Arial" w:hAnsi="Arial" w:cs="Arial"/>
          <w:b/>
          <w:lang w:val="en-US"/>
        </w:rPr>
        <w:t xml:space="preserve"> </w:t>
      </w:r>
      <w:proofErr w:type="spellStart"/>
      <w:r w:rsidRPr="00DA7D2A">
        <w:rPr>
          <w:rFonts w:ascii="Arial" w:hAnsi="Arial" w:cs="Arial"/>
          <w:b/>
          <w:lang w:val="en-US"/>
        </w:rPr>
        <w:t>farmaceutice</w:t>
      </w:r>
      <w:proofErr w:type="spellEnd"/>
      <w:r w:rsidR="00A647F6">
        <w:rPr>
          <w:rFonts w:ascii="Arial" w:hAnsi="Arial" w:cs="Arial"/>
          <w:b/>
          <w:lang w:val="en-US"/>
        </w:rPr>
        <w:t xml:space="preserve"> </w:t>
      </w:r>
      <w:proofErr w:type="spellStart"/>
      <w:r w:rsidR="00A647F6">
        <w:rPr>
          <w:rFonts w:ascii="Arial" w:hAnsi="Arial" w:cs="Arial"/>
          <w:b/>
          <w:lang w:val="en-US"/>
        </w:rPr>
        <w:t>indic</w:t>
      </w:r>
      <w:r w:rsidR="00516A5C">
        <w:rPr>
          <w:rFonts w:ascii="Arial" w:hAnsi="Arial" w:cs="Arial"/>
          <w:b/>
          <w:lang w:val="en-US"/>
        </w:rPr>
        <w:t>a</w:t>
      </w:r>
      <w:proofErr w:type="spellEnd"/>
      <w:r w:rsidR="00A647F6">
        <w:rPr>
          <w:rFonts w:ascii="Arial" w:hAnsi="Arial" w:cs="Arial"/>
          <w:b/>
          <w:lang w:val="en-US"/>
        </w:rPr>
        <w:t xml:space="preserve"> o </w:t>
      </w:r>
      <w:proofErr w:type="spellStart"/>
      <w:r w:rsidR="00A647F6">
        <w:rPr>
          <w:rFonts w:ascii="Arial" w:hAnsi="Arial" w:cs="Arial"/>
          <w:b/>
          <w:lang w:val="en-US"/>
        </w:rPr>
        <w:t>evolu</w:t>
      </w:r>
      <w:r w:rsidR="00516A5C">
        <w:rPr>
          <w:rFonts w:ascii="Arial" w:hAnsi="Arial" w:cs="Arial"/>
          <w:b/>
          <w:lang w:val="en-US"/>
        </w:rPr>
        <w:t>t</w:t>
      </w:r>
      <w:r w:rsidR="00A647F6">
        <w:rPr>
          <w:rFonts w:ascii="Arial" w:hAnsi="Arial" w:cs="Arial"/>
          <w:b/>
          <w:lang w:val="en-US"/>
        </w:rPr>
        <w:t>ie</w:t>
      </w:r>
      <w:proofErr w:type="spellEnd"/>
      <w:r w:rsidR="00A647F6">
        <w:rPr>
          <w:rFonts w:ascii="Arial" w:hAnsi="Arial" w:cs="Arial"/>
          <w:b/>
          <w:lang w:val="en-US"/>
        </w:rPr>
        <w:t xml:space="preserve"> </w:t>
      </w:r>
      <w:proofErr w:type="spellStart"/>
      <w:r w:rsidR="00A647F6">
        <w:rPr>
          <w:rFonts w:ascii="Arial" w:hAnsi="Arial" w:cs="Arial"/>
          <w:b/>
          <w:lang w:val="en-US"/>
        </w:rPr>
        <w:t>pozitiv</w:t>
      </w:r>
      <w:r w:rsidR="00516A5C">
        <w:rPr>
          <w:rFonts w:ascii="Arial" w:hAnsi="Arial" w:cs="Arial"/>
          <w:b/>
          <w:lang w:val="en-US"/>
        </w:rPr>
        <w:t>a</w:t>
      </w:r>
      <w:proofErr w:type="spellEnd"/>
      <w:r w:rsidR="00A647F6">
        <w:rPr>
          <w:rFonts w:ascii="Arial" w:hAnsi="Arial" w:cs="Arial"/>
          <w:b/>
          <w:lang w:val="en-US"/>
        </w:rPr>
        <w:t xml:space="preserve"> a </w:t>
      </w:r>
      <w:proofErr w:type="spellStart"/>
      <w:r w:rsidR="00A647F6">
        <w:rPr>
          <w:rFonts w:ascii="Arial" w:hAnsi="Arial" w:cs="Arial"/>
          <w:b/>
          <w:lang w:val="en-US"/>
        </w:rPr>
        <w:t>veniturilor</w:t>
      </w:r>
      <w:proofErr w:type="spellEnd"/>
      <w:r w:rsidR="00A647F6">
        <w:rPr>
          <w:rFonts w:ascii="Arial" w:hAnsi="Arial" w:cs="Arial"/>
          <w:b/>
          <w:lang w:val="en-US"/>
        </w:rPr>
        <w:t xml:space="preserve"> </w:t>
      </w:r>
      <w:proofErr w:type="spellStart"/>
      <w:r w:rsidR="00A647F6">
        <w:rPr>
          <w:rFonts w:ascii="Arial" w:hAnsi="Arial" w:cs="Arial"/>
          <w:b/>
          <w:lang w:val="en-US"/>
        </w:rPr>
        <w:t>companiilor</w:t>
      </w:r>
      <w:proofErr w:type="spellEnd"/>
      <w:r w:rsidR="00A647F6">
        <w:rPr>
          <w:rFonts w:ascii="Arial" w:hAnsi="Arial" w:cs="Arial"/>
          <w:b/>
          <w:lang w:val="en-US"/>
        </w:rPr>
        <w:t xml:space="preserve"> din </w:t>
      </w:r>
      <w:proofErr w:type="spellStart"/>
      <w:r w:rsidR="00A647F6">
        <w:rPr>
          <w:rFonts w:ascii="Arial" w:hAnsi="Arial" w:cs="Arial"/>
          <w:b/>
          <w:lang w:val="en-US"/>
        </w:rPr>
        <w:t>acest</w:t>
      </w:r>
      <w:proofErr w:type="spellEnd"/>
      <w:r w:rsidR="00A647F6">
        <w:rPr>
          <w:rFonts w:ascii="Arial" w:hAnsi="Arial" w:cs="Arial"/>
          <w:b/>
          <w:lang w:val="en-US"/>
        </w:rPr>
        <w:t xml:space="preserve"> sector de </w:t>
      </w:r>
      <w:proofErr w:type="spellStart"/>
      <w:r w:rsidR="00A647F6">
        <w:rPr>
          <w:rFonts w:ascii="Arial" w:hAnsi="Arial" w:cs="Arial"/>
          <w:b/>
          <w:lang w:val="en-US"/>
        </w:rPr>
        <w:t>activitate</w:t>
      </w:r>
      <w:proofErr w:type="spellEnd"/>
      <w:r w:rsidR="00A647F6">
        <w:rPr>
          <w:rFonts w:ascii="Arial" w:hAnsi="Arial" w:cs="Arial"/>
          <w:b/>
          <w:lang w:val="en-US"/>
        </w:rPr>
        <w:t xml:space="preserve">, </w:t>
      </w:r>
      <w:proofErr w:type="spellStart"/>
      <w:r w:rsidR="00516A5C">
        <w:rPr>
          <w:rFonts w:ascii="Arial" w:hAnsi="Arial" w:cs="Arial"/>
          <w:b/>
          <w:lang w:val="en-US"/>
        </w:rPr>
        <w:t>i</w:t>
      </w:r>
      <w:r w:rsidR="00A647F6">
        <w:rPr>
          <w:rFonts w:ascii="Arial" w:hAnsi="Arial" w:cs="Arial"/>
          <w:b/>
          <w:lang w:val="en-US"/>
        </w:rPr>
        <w:t>ns</w:t>
      </w:r>
      <w:r w:rsidR="00516A5C">
        <w:rPr>
          <w:rFonts w:ascii="Arial" w:hAnsi="Arial" w:cs="Arial"/>
          <w:b/>
          <w:lang w:val="en-US"/>
        </w:rPr>
        <w:t>a</w:t>
      </w:r>
      <w:proofErr w:type="spellEnd"/>
      <w:r w:rsidR="00A647F6">
        <w:rPr>
          <w:rFonts w:ascii="Arial" w:hAnsi="Arial" w:cs="Arial"/>
          <w:b/>
          <w:lang w:val="en-US"/>
        </w:rPr>
        <w:t xml:space="preserve"> cu o </w:t>
      </w:r>
      <w:proofErr w:type="spellStart"/>
      <w:r w:rsidR="00A647F6">
        <w:rPr>
          <w:rFonts w:ascii="Arial" w:hAnsi="Arial" w:cs="Arial"/>
          <w:b/>
          <w:lang w:val="en-US"/>
        </w:rPr>
        <w:t>profitabilitate</w:t>
      </w:r>
      <w:proofErr w:type="spellEnd"/>
      <w:r w:rsidR="00A647F6">
        <w:rPr>
          <w:rFonts w:ascii="Arial" w:hAnsi="Arial" w:cs="Arial"/>
          <w:b/>
          <w:lang w:val="en-US"/>
        </w:rPr>
        <w:t xml:space="preserve"> </w:t>
      </w:r>
      <w:proofErr w:type="spellStart"/>
      <w:r w:rsidR="00516A5C">
        <w:rPr>
          <w:rFonts w:ascii="Arial" w:hAnsi="Arial" w:cs="Arial"/>
          <w:b/>
          <w:lang w:val="en-US"/>
        </w:rPr>
        <w:t>i</w:t>
      </w:r>
      <w:r w:rsidR="00A647F6">
        <w:rPr>
          <w:rFonts w:ascii="Arial" w:hAnsi="Arial" w:cs="Arial"/>
          <w:b/>
          <w:lang w:val="en-US"/>
        </w:rPr>
        <w:t>ntr</w:t>
      </w:r>
      <w:proofErr w:type="spellEnd"/>
      <w:r w:rsidR="00A647F6">
        <w:rPr>
          <w:rFonts w:ascii="Arial" w:hAnsi="Arial" w:cs="Arial"/>
          <w:b/>
          <w:lang w:val="en-US"/>
        </w:rPr>
        <w:t xml:space="preserve">-o </w:t>
      </w:r>
      <w:proofErr w:type="spellStart"/>
      <w:r w:rsidR="00A647F6">
        <w:rPr>
          <w:rFonts w:ascii="Arial" w:hAnsi="Arial" w:cs="Arial"/>
          <w:b/>
          <w:lang w:val="en-US"/>
        </w:rPr>
        <w:t>u</w:t>
      </w:r>
      <w:r w:rsidR="00516A5C">
        <w:rPr>
          <w:rFonts w:ascii="Arial" w:hAnsi="Arial" w:cs="Arial"/>
          <w:b/>
          <w:lang w:val="en-US"/>
        </w:rPr>
        <w:t>s</w:t>
      </w:r>
      <w:r w:rsidR="00A647F6">
        <w:rPr>
          <w:rFonts w:ascii="Arial" w:hAnsi="Arial" w:cs="Arial"/>
          <w:b/>
          <w:lang w:val="en-US"/>
        </w:rPr>
        <w:t>oar</w:t>
      </w:r>
      <w:r w:rsidR="00516A5C">
        <w:rPr>
          <w:rFonts w:ascii="Arial" w:hAnsi="Arial" w:cs="Arial"/>
          <w:b/>
          <w:lang w:val="en-US"/>
        </w:rPr>
        <w:t>a</w:t>
      </w:r>
      <w:proofErr w:type="spellEnd"/>
      <w:r w:rsidR="00A647F6">
        <w:rPr>
          <w:rFonts w:ascii="Arial" w:hAnsi="Arial" w:cs="Arial"/>
          <w:b/>
          <w:lang w:val="en-US"/>
        </w:rPr>
        <w:t xml:space="preserve"> </w:t>
      </w:r>
      <w:proofErr w:type="spellStart"/>
      <w:r w:rsidR="00A647F6">
        <w:rPr>
          <w:rFonts w:ascii="Arial" w:hAnsi="Arial" w:cs="Arial"/>
          <w:b/>
          <w:lang w:val="en-US"/>
        </w:rPr>
        <w:t>sc</w:t>
      </w:r>
      <w:r w:rsidR="00516A5C">
        <w:rPr>
          <w:rFonts w:ascii="Arial" w:hAnsi="Arial" w:cs="Arial"/>
          <w:b/>
          <w:lang w:val="en-US"/>
        </w:rPr>
        <w:t>a</w:t>
      </w:r>
      <w:r w:rsidR="00A647F6">
        <w:rPr>
          <w:rFonts w:ascii="Arial" w:hAnsi="Arial" w:cs="Arial"/>
          <w:b/>
          <w:lang w:val="en-US"/>
        </w:rPr>
        <w:t>dere</w:t>
      </w:r>
      <w:proofErr w:type="spellEnd"/>
      <w:r w:rsidR="00A647F6">
        <w:rPr>
          <w:rFonts w:ascii="Arial" w:hAnsi="Arial" w:cs="Arial"/>
          <w:b/>
          <w:lang w:val="en-US"/>
        </w:rPr>
        <w:t xml:space="preserve">. </w:t>
      </w:r>
      <w:proofErr w:type="spellStart"/>
      <w:r w:rsidR="00A647F6">
        <w:rPr>
          <w:rFonts w:ascii="Arial" w:hAnsi="Arial" w:cs="Arial"/>
          <w:b/>
          <w:lang w:val="en-US"/>
        </w:rPr>
        <w:t>Acest</w:t>
      </w:r>
      <w:proofErr w:type="spellEnd"/>
      <w:r w:rsidR="00A647F6">
        <w:rPr>
          <w:rFonts w:ascii="Arial" w:hAnsi="Arial" w:cs="Arial"/>
          <w:b/>
          <w:lang w:val="en-US"/>
        </w:rPr>
        <w:t xml:space="preserve"> </w:t>
      </w:r>
      <w:proofErr w:type="spellStart"/>
      <w:r w:rsidR="00A647F6">
        <w:rPr>
          <w:rFonts w:ascii="Arial" w:hAnsi="Arial" w:cs="Arial"/>
          <w:b/>
          <w:lang w:val="en-US"/>
        </w:rPr>
        <w:t>studiu</w:t>
      </w:r>
      <w:proofErr w:type="spellEnd"/>
      <w:r w:rsidR="00A647F6">
        <w:rPr>
          <w:rFonts w:ascii="Arial" w:hAnsi="Arial" w:cs="Arial"/>
          <w:b/>
          <w:lang w:val="en-US"/>
        </w:rPr>
        <w:t xml:space="preserve"> </w:t>
      </w:r>
      <w:r w:rsidR="002A511A">
        <w:rPr>
          <w:rFonts w:ascii="Arial" w:hAnsi="Arial" w:cs="Arial"/>
          <w:b/>
          <w:lang w:val="en-US"/>
        </w:rPr>
        <w:t xml:space="preserve">a </w:t>
      </w:r>
      <w:proofErr w:type="spellStart"/>
      <w:r w:rsidR="002A511A">
        <w:rPr>
          <w:rFonts w:ascii="Arial" w:hAnsi="Arial" w:cs="Arial"/>
          <w:b/>
          <w:lang w:val="en-US"/>
        </w:rPr>
        <w:t>agregat</w:t>
      </w:r>
      <w:proofErr w:type="spellEnd"/>
      <w:r w:rsidR="002A511A">
        <w:rPr>
          <w:rFonts w:ascii="Arial" w:hAnsi="Arial" w:cs="Arial"/>
          <w:b/>
          <w:lang w:val="en-US"/>
        </w:rPr>
        <w:t xml:space="preserve"> </w:t>
      </w:r>
      <w:proofErr w:type="spellStart"/>
      <w:r w:rsidR="002A511A">
        <w:rPr>
          <w:rFonts w:ascii="Arial" w:hAnsi="Arial" w:cs="Arial"/>
          <w:b/>
          <w:lang w:val="en-US"/>
        </w:rPr>
        <w:t>datele</w:t>
      </w:r>
      <w:proofErr w:type="spellEnd"/>
      <w:r w:rsidR="002A511A">
        <w:rPr>
          <w:rFonts w:ascii="Arial" w:hAnsi="Arial" w:cs="Arial"/>
          <w:b/>
          <w:lang w:val="en-US"/>
        </w:rPr>
        <w:t xml:space="preserve"> a 1.662 de </w:t>
      </w:r>
      <w:proofErr w:type="spellStart"/>
      <w:r w:rsidR="002A511A">
        <w:rPr>
          <w:rFonts w:ascii="Arial" w:hAnsi="Arial" w:cs="Arial"/>
          <w:b/>
          <w:lang w:val="en-US"/>
        </w:rPr>
        <w:t>companii</w:t>
      </w:r>
      <w:proofErr w:type="spellEnd"/>
      <w:r w:rsidR="007B140E">
        <w:rPr>
          <w:rFonts w:ascii="Arial" w:hAnsi="Arial" w:cs="Arial"/>
          <w:b/>
          <w:lang w:val="en-US"/>
        </w:rPr>
        <w:t>,</w:t>
      </w:r>
      <w:r w:rsidR="002A511A">
        <w:rPr>
          <w:rFonts w:ascii="Arial" w:hAnsi="Arial" w:cs="Arial"/>
          <w:b/>
          <w:lang w:val="en-US"/>
        </w:rPr>
        <w:t xml:space="preserve"> care au </w:t>
      </w:r>
      <w:proofErr w:type="spellStart"/>
      <w:r w:rsidR="002A511A">
        <w:rPr>
          <w:rFonts w:ascii="Arial" w:hAnsi="Arial" w:cs="Arial"/>
          <w:b/>
          <w:lang w:val="en-US"/>
        </w:rPr>
        <w:t>depus</w:t>
      </w:r>
      <w:proofErr w:type="spellEnd"/>
      <w:r w:rsidR="002A511A">
        <w:rPr>
          <w:rFonts w:ascii="Arial" w:hAnsi="Arial" w:cs="Arial"/>
          <w:b/>
          <w:lang w:val="en-US"/>
        </w:rPr>
        <w:t xml:space="preserve"> </w:t>
      </w:r>
      <w:proofErr w:type="spellStart"/>
      <w:r w:rsidR="002A511A">
        <w:rPr>
          <w:rFonts w:ascii="Arial" w:hAnsi="Arial" w:cs="Arial"/>
          <w:b/>
          <w:lang w:val="en-US"/>
        </w:rPr>
        <w:t>datele</w:t>
      </w:r>
      <w:proofErr w:type="spellEnd"/>
      <w:r w:rsidR="002A511A">
        <w:rPr>
          <w:rFonts w:ascii="Arial" w:hAnsi="Arial" w:cs="Arial"/>
          <w:b/>
          <w:lang w:val="en-US"/>
        </w:rPr>
        <w:t xml:space="preserve"> </w:t>
      </w:r>
      <w:proofErr w:type="spellStart"/>
      <w:r w:rsidR="002A511A">
        <w:rPr>
          <w:rFonts w:ascii="Arial" w:hAnsi="Arial" w:cs="Arial"/>
          <w:b/>
          <w:lang w:val="en-US"/>
        </w:rPr>
        <w:t>financiare</w:t>
      </w:r>
      <w:proofErr w:type="spellEnd"/>
      <w:r w:rsidR="002A511A">
        <w:rPr>
          <w:rFonts w:ascii="Arial" w:hAnsi="Arial" w:cs="Arial"/>
          <w:b/>
          <w:lang w:val="en-US"/>
        </w:rPr>
        <w:t xml:space="preserve"> </w:t>
      </w:r>
      <w:proofErr w:type="spellStart"/>
      <w:r w:rsidR="002A511A">
        <w:rPr>
          <w:rFonts w:ascii="Arial" w:hAnsi="Arial" w:cs="Arial"/>
          <w:b/>
          <w:lang w:val="en-US"/>
        </w:rPr>
        <w:t>pentru</w:t>
      </w:r>
      <w:proofErr w:type="spellEnd"/>
      <w:r w:rsidR="002A511A">
        <w:rPr>
          <w:rFonts w:ascii="Arial" w:hAnsi="Arial" w:cs="Arial"/>
          <w:b/>
          <w:lang w:val="en-US"/>
        </w:rPr>
        <w:t xml:space="preserve"> </w:t>
      </w:r>
      <w:proofErr w:type="spellStart"/>
      <w:r w:rsidR="002A511A">
        <w:rPr>
          <w:rFonts w:ascii="Arial" w:hAnsi="Arial" w:cs="Arial"/>
          <w:b/>
          <w:lang w:val="en-US"/>
        </w:rPr>
        <w:t>anul</w:t>
      </w:r>
      <w:proofErr w:type="spellEnd"/>
      <w:r w:rsidR="002A511A">
        <w:rPr>
          <w:rFonts w:ascii="Arial" w:hAnsi="Arial" w:cs="Arial"/>
          <w:b/>
          <w:lang w:val="en-US"/>
        </w:rPr>
        <w:t xml:space="preserve"> 2017</w:t>
      </w:r>
      <w:r w:rsidR="00A647F6">
        <w:rPr>
          <w:rFonts w:ascii="Arial" w:hAnsi="Arial" w:cs="Arial"/>
          <w:b/>
          <w:lang w:val="en-US"/>
        </w:rPr>
        <w:t xml:space="preserve"> </w:t>
      </w:r>
      <w:proofErr w:type="spellStart"/>
      <w:r w:rsidR="00516A5C">
        <w:rPr>
          <w:rFonts w:ascii="Arial" w:hAnsi="Arial" w:cs="Arial"/>
          <w:b/>
          <w:lang w:val="en-US"/>
        </w:rPr>
        <w:t>s</w:t>
      </w:r>
      <w:r w:rsidR="00A647F6">
        <w:rPr>
          <w:rFonts w:ascii="Arial" w:hAnsi="Arial" w:cs="Arial"/>
          <w:b/>
          <w:lang w:val="en-US"/>
        </w:rPr>
        <w:t>i</w:t>
      </w:r>
      <w:proofErr w:type="spellEnd"/>
      <w:r w:rsidR="00A647F6">
        <w:rPr>
          <w:rFonts w:ascii="Arial" w:hAnsi="Arial" w:cs="Arial"/>
          <w:b/>
          <w:lang w:val="en-US"/>
        </w:rPr>
        <w:t xml:space="preserve"> care au </w:t>
      </w:r>
      <w:proofErr w:type="spellStart"/>
      <w:r w:rsidR="00A647F6">
        <w:rPr>
          <w:rFonts w:ascii="Arial" w:hAnsi="Arial" w:cs="Arial"/>
          <w:b/>
          <w:lang w:val="en-US"/>
        </w:rPr>
        <w:t>generat</w:t>
      </w:r>
      <w:proofErr w:type="spellEnd"/>
      <w:r w:rsidR="00A647F6">
        <w:rPr>
          <w:rFonts w:ascii="Arial" w:hAnsi="Arial" w:cs="Arial"/>
          <w:b/>
          <w:lang w:val="en-US"/>
        </w:rPr>
        <w:t xml:space="preserve"> </w:t>
      </w:r>
      <w:r w:rsidR="002A511A">
        <w:rPr>
          <w:rFonts w:ascii="Arial" w:hAnsi="Arial" w:cs="Arial"/>
          <w:b/>
          <w:lang w:val="en-US"/>
        </w:rPr>
        <w:t xml:space="preserve">o </w:t>
      </w:r>
      <w:proofErr w:type="spellStart"/>
      <w:r w:rsidR="002A511A">
        <w:rPr>
          <w:rFonts w:ascii="Arial" w:hAnsi="Arial" w:cs="Arial"/>
          <w:b/>
          <w:lang w:val="en-US"/>
        </w:rPr>
        <w:t>cifr</w:t>
      </w:r>
      <w:r w:rsidR="00516A5C">
        <w:rPr>
          <w:rFonts w:ascii="Arial" w:hAnsi="Arial" w:cs="Arial"/>
          <w:b/>
          <w:lang w:val="en-US"/>
        </w:rPr>
        <w:t>a</w:t>
      </w:r>
      <w:proofErr w:type="spellEnd"/>
      <w:r w:rsidR="002A511A">
        <w:rPr>
          <w:rFonts w:ascii="Arial" w:hAnsi="Arial" w:cs="Arial"/>
          <w:b/>
          <w:lang w:val="en-US"/>
        </w:rPr>
        <w:t xml:space="preserve"> de </w:t>
      </w:r>
      <w:proofErr w:type="spellStart"/>
      <w:r w:rsidR="002A511A">
        <w:rPr>
          <w:rFonts w:ascii="Arial" w:hAnsi="Arial" w:cs="Arial"/>
          <w:b/>
          <w:lang w:val="en-US"/>
        </w:rPr>
        <w:t>afaceri</w:t>
      </w:r>
      <w:proofErr w:type="spellEnd"/>
      <w:r w:rsidR="002A511A">
        <w:rPr>
          <w:rFonts w:ascii="Arial" w:hAnsi="Arial" w:cs="Arial"/>
          <w:b/>
          <w:lang w:val="en-US"/>
        </w:rPr>
        <w:t xml:space="preserve"> </w:t>
      </w:r>
      <w:proofErr w:type="spellStart"/>
      <w:r w:rsidR="002A511A">
        <w:rPr>
          <w:rFonts w:ascii="Arial" w:hAnsi="Arial" w:cs="Arial"/>
          <w:b/>
          <w:lang w:val="en-US"/>
        </w:rPr>
        <w:t>consolidat</w:t>
      </w:r>
      <w:r w:rsidR="00516A5C">
        <w:rPr>
          <w:rFonts w:ascii="Arial" w:hAnsi="Arial" w:cs="Arial"/>
          <w:b/>
          <w:lang w:val="en-US"/>
        </w:rPr>
        <w:t>a</w:t>
      </w:r>
      <w:proofErr w:type="spellEnd"/>
      <w:r w:rsidR="002A511A">
        <w:rPr>
          <w:rFonts w:ascii="Arial" w:hAnsi="Arial" w:cs="Arial"/>
          <w:b/>
          <w:lang w:val="en-US"/>
        </w:rPr>
        <w:t xml:space="preserve"> </w:t>
      </w:r>
      <w:r w:rsidR="00BE25A8">
        <w:rPr>
          <w:rFonts w:ascii="Arial" w:hAnsi="Arial" w:cs="Arial"/>
          <w:b/>
          <w:lang w:val="en-US"/>
        </w:rPr>
        <w:t>de 28,6 MLD RON</w:t>
      </w:r>
      <w:r w:rsidR="00A647F6">
        <w:rPr>
          <w:rFonts w:ascii="Arial" w:hAnsi="Arial" w:cs="Arial"/>
          <w:b/>
          <w:lang w:val="en-US"/>
        </w:rPr>
        <w:t xml:space="preserve">. </w:t>
      </w:r>
    </w:p>
    <w:p w:rsidR="00945385" w:rsidRPr="00DA7D2A" w:rsidRDefault="00945385" w:rsidP="00945385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p w:rsidR="00DA7D2A" w:rsidRPr="00C67C9C" w:rsidRDefault="00DA7D2A" w:rsidP="00945385">
      <w:pPr>
        <w:spacing w:after="120" w:line="240" w:lineRule="auto"/>
        <w:jc w:val="both"/>
        <w:rPr>
          <w:rFonts w:ascii="Arial" w:hAnsi="Arial" w:cs="Arial"/>
          <w:b/>
          <w:sz w:val="20"/>
          <w:lang w:val="en-US"/>
        </w:rPr>
      </w:pPr>
      <w:proofErr w:type="spellStart"/>
      <w:r w:rsidRPr="00C67C9C">
        <w:rPr>
          <w:rFonts w:ascii="Arial" w:hAnsi="Arial" w:cs="Arial"/>
          <w:b/>
          <w:sz w:val="20"/>
          <w:lang w:val="en-US"/>
        </w:rPr>
        <w:t>Puncte</w:t>
      </w:r>
      <w:proofErr w:type="spellEnd"/>
      <w:r w:rsidRPr="00C67C9C">
        <w:rPr>
          <w:rFonts w:ascii="Arial" w:hAnsi="Arial" w:cs="Arial"/>
          <w:b/>
          <w:sz w:val="20"/>
          <w:lang w:val="en-US"/>
        </w:rPr>
        <w:t xml:space="preserve"> forte: </w:t>
      </w:r>
    </w:p>
    <w:p w:rsidR="00DA7D2A" w:rsidRDefault="00A91B46" w:rsidP="00945385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lang w:val="en-US"/>
        </w:rPr>
      </w:pPr>
      <w:proofErr w:type="spellStart"/>
      <w:r w:rsidRPr="008924CF">
        <w:rPr>
          <w:rFonts w:ascii="Arial" w:hAnsi="Arial" w:cs="Arial"/>
          <w:b/>
          <w:sz w:val="20"/>
          <w:lang w:val="en-US"/>
        </w:rPr>
        <w:t>Evolu</w:t>
      </w:r>
      <w:r w:rsidR="00516A5C">
        <w:rPr>
          <w:rFonts w:ascii="Arial" w:hAnsi="Arial" w:cs="Arial"/>
          <w:b/>
          <w:sz w:val="20"/>
          <w:lang w:val="en-US"/>
        </w:rPr>
        <w:t>t</w:t>
      </w:r>
      <w:r w:rsidRPr="008924CF">
        <w:rPr>
          <w:rFonts w:ascii="Arial" w:hAnsi="Arial" w:cs="Arial"/>
          <w:b/>
          <w:sz w:val="20"/>
          <w:lang w:val="en-US"/>
        </w:rPr>
        <w:t>ia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pozitiv</w:t>
      </w:r>
      <w:r w:rsidR="00516A5C">
        <w:rPr>
          <w:rFonts w:ascii="Arial" w:hAnsi="Arial" w:cs="Arial"/>
          <w:b/>
          <w:sz w:val="20"/>
          <w:lang w:val="en-US"/>
        </w:rPr>
        <w:t>a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a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veniturilor</w:t>
      </w:r>
      <w:proofErr w:type="spellEnd"/>
      <w:r>
        <w:rPr>
          <w:rFonts w:ascii="Arial" w:hAnsi="Arial" w:cs="Arial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lang w:val="en-US"/>
        </w:rPr>
        <w:t>aceste</w:t>
      </w:r>
      <w:r w:rsidR="008924CF">
        <w:rPr>
          <w:rFonts w:ascii="Arial" w:hAnsi="Arial" w:cs="Arial"/>
          <w:sz w:val="20"/>
          <w:lang w:val="en-US"/>
        </w:rPr>
        <w:t>a</w:t>
      </w:r>
      <w:proofErr w:type="spellEnd"/>
      <w:r w:rsidR="008924C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924CF">
        <w:rPr>
          <w:rFonts w:ascii="Arial" w:hAnsi="Arial" w:cs="Arial"/>
          <w:sz w:val="20"/>
          <w:lang w:val="en-US"/>
        </w:rPr>
        <w:t>cresc</w:t>
      </w:r>
      <w:r w:rsidR="00516A5C">
        <w:rPr>
          <w:rFonts w:ascii="Arial" w:hAnsi="Arial" w:cs="Arial"/>
          <w:sz w:val="20"/>
          <w:lang w:val="en-US"/>
        </w:rPr>
        <w:t>a</w:t>
      </w:r>
      <w:r w:rsidR="008924CF">
        <w:rPr>
          <w:rFonts w:ascii="Arial" w:hAnsi="Arial" w:cs="Arial"/>
          <w:sz w:val="20"/>
          <w:lang w:val="en-US"/>
        </w:rPr>
        <w:t>nd</w:t>
      </w:r>
      <w:proofErr w:type="spellEnd"/>
      <w:r w:rsidR="008924CF">
        <w:rPr>
          <w:rFonts w:ascii="Arial" w:hAnsi="Arial" w:cs="Arial"/>
          <w:sz w:val="20"/>
          <w:lang w:val="en-US"/>
        </w:rPr>
        <w:t xml:space="preserve"> </w:t>
      </w:r>
      <w:r w:rsidR="00516A5C">
        <w:rPr>
          <w:rFonts w:ascii="Arial" w:hAnsi="Arial" w:cs="Arial"/>
          <w:sz w:val="20"/>
          <w:lang w:val="en-US"/>
        </w:rPr>
        <w:t>i</w:t>
      </w:r>
      <w:r w:rsidR="008924CF">
        <w:rPr>
          <w:rFonts w:ascii="Arial" w:hAnsi="Arial" w:cs="Arial"/>
          <w:sz w:val="20"/>
          <w:lang w:val="en-US"/>
        </w:rPr>
        <w:t xml:space="preserve">n 2017 cu </w:t>
      </w:r>
      <w:proofErr w:type="spellStart"/>
      <w:r w:rsidR="008924CF">
        <w:rPr>
          <w:rFonts w:ascii="Arial" w:hAnsi="Arial" w:cs="Arial"/>
          <w:sz w:val="20"/>
          <w:lang w:val="en-US"/>
        </w:rPr>
        <w:t>aproximativ</w:t>
      </w:r>
      <w:proofErr w:type="spellEnd"/>
      <w:r w:rsidR="008924CF">
        <w:rPr>
          <w:rFonts w:ascii="Arial" w:hAnsi="Arial" w:cs="Arial"/>
          <w:sz w:val="20"/>
          <w:lang w:val="en-US"/>
        </w:rPr>
        <w:t xml:space="preserve"> 4% fa</w:t>
      </w:r>
      <w:r w:rsidR="00516A5C">
        <w:rPr>
          <w:rFonts w:ascii="Arial" w:hAnsi="Arial" w:cs="Arial"/>
          <w:sz w:val="20"/>
          <w:lang w:val="en-US"/>
        </w:rPr>
        <w:t>ta</w:t>
      </w:r>
      <w:r>
        <w:rPr>
          <w:rFonts w:ascii="Arial" w:hAnsi="Arial" w:cs="Arial"/>
          <w:sz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lang w:val="en-US"/>
        </w:rPr>
        <w:t>anul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 w:rsidR="008924CF">
        <w:rPr>
          <w:rFonts w:ascii="Arial" w:hAnsi="Arial" w:cs="Arial"/>
          <w:sz w:val="20"/>
          <w:lang w:val="en-US"/>
        </w:rPr>
        <w:t>precedent</w:t>
      </w:r>
      <w:r>
        <w:rPr>
          <w:rFonts w:ascii="Arial" w:hAnsi="Arial" w:cs="Arial"/>
          <w:sz w:val="20"/>
          <w:lang w:val="en-US"/>
        </w:rPr>
        <w:t xml:space="preserve">; </w:t>
      </w:r>
    </w:p>
    <w:p w:rsidR="008924CF" w:rsidRDefault="008924CF" w:rsidP="00945385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lang w:val="en-US"/>
        </w:rPr>
      </w:pPr>
      <w:proofErr w:type="spellStart"/>
      <w:r w:rsidRPr="008924CF">
        <w:rPr>
          <w:rFonts w:ascii="Arial" w:hAnsi="Arial" w:cs="Arial"/>
          <w:b/>
          <w:sz w:val="20"/>
          <w:lang w:val="en-US"/>
        </w:rPr>
        <w:t>Ciclul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de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conversie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al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banilor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este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pozitiv</w:t>
      </w:r>
      <w:proofErr w:type="spellEnd"/>
      <w:r>
        <w:rPr>
          <w:rFonts w:ascii="Arial" w:hAnsi="Arial" w:cs="Arial"/>
          <w:sz w:val="20"/>
          <w:lang w:val="en-US"/>
        </w:rPr>
        <w:t xml:space="preserve"> la </w:t>
      </w:r>
      <w:proofErr w:type="spellStart"/>
      <w:r>
        <w:rPr>
          <w:rFonts w:ascii="Arial" w:hAnsi="Arial" w:cs="Arial"/>
          <w:sz w:val="20"/>
          <w:lang w:val="en-US"/>
        </w:rPr>
        <w:t>nivel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D7DBC">
        <w:rPr>
          <w:rFonts w:ascii="Arial" w:hAnsi="Arial" w:cs="Arial"/>
          <w:sz w:val="20"/>
          <w:lang w:val="en-US"/>
        </w:rPr>
        <w:t>consolidat</w:t>
      </w:r>
      <w:proofErr w:type="spellEnd"/>
      <w:r>
        <w:rPr>
          <w:rFonts w:ascii="Arial" w:hAnsi="Arial" w:cs="Arial"/>
          <w:sz w:val="20"/>
          <w:lang w:val="en-US"/>
        </w:rPr>
        <w:t xml:space="preserve"> (76,4% in 2016 </w:t>
      </w:r>
      <w:proofErr w:type="spellStart"/>
      <w:r w:rsidR="00516A5C">
        <w:rPr>
          <w:rFonts w:ascii="Arial" w:hAnsi="Arial" w:cs="Arial"/>
          <w:sz w:val="20"/>
          <w:lang w:val="en-US"/>
        </w:rPr>
        <w:t>s</w:t>
      </w:r>
      <w:r>
        <w:rPr>
          <w:rFonts w:ascii="Arial" w:hAnsi="Arial" w:cs="Arial"/>
          <w:sz w:val="20"/>
          <w:lang w:val="en-US"/>
        </w:rPr>
        <w:t>i</w:t>
      </w:r>
      <w:proofErr w:type="spellEnd"/>
      <w:r>
        <w:rPr>
          <w:rFonts w:ascii="Arial" w:hAnsi="Arial" w:cs="Arial"/>
          <w:sz w:val="20"/>
          <w:lang w:val="en-US"/>
        </w:rPr>
        <w:t xml:space="preserve"> 75,9 in 2017); </w:t>
      </w:r>
    </w:p>
    <w:p w:rsidR="008924CF" w:rsidRPr="008924CF" w:rsidRDefault="008924CF" w:rsidP="00945385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Peste</w:t>
      </w:r>
      <w:proofErr w:type="spellEnd"/>
      <w:r>
        <w:rPr>
          <w:rFonts w:ascii="Arial" w:hAnsi="Arial" w:cs="Arial"/>
          <w:sz w:val="20"/>
          <w:lang w:val="en-US"/>
        </w:rPr>
        <w:t xml:space="preserve"> o </w:t>
      </w:r>
      <w:proofErr w:type="spellStart"/>
      <w:r>
        <w:rPr>
          <w:rFonts w:ascii="Arial" w:hAnsi="Arial" w:cs="Arial"/>
          <w:sz w:val="20"/>
          <w:lang w:val="en-US"/>
        </w:rPr>
        <w:t>treime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dintre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companii</w:t>
      </w:r>
      <w:proofErr w:type="spellEnd"/>
      <w:r>
        <w:rPr>
          <w:rFonts w:ascii="Arial" w:hAnsi="Arial" w:cs="Arial"/>
          <w:sz w:val="20"/>
          <w:lang w:val="en-US"/>
        </w:rPr>
        <w:t xml:space="preserve"> (40%) au </w:t>
      </w:r>
      <w:proofErr w:type="spellStart"/>
      <w:r>
        <w:rPr>
          <w:rFonts w:ascii="Arial" w:hAnsi="Arial" w:cs="Arial"/>
          <w:sz w:val="20"/>
          <w:lang w:val="en-US"/>
        </w:rPr>
        <w:t>efectuat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inv</w:t>
      </w:r>
      <w:bookmarkStart w:id="0" w:name="_GoBack"/>
      <w:bookmarkEnd w:id="0"/>
      <w:r w:rsidRPr="008924CF">
        <w:rPr>
          <w:rFonts w:ascii="Arial" w:hAnsi="Arial" w:cs="Arial"/>
          <w:b/>
          <w:sz w:val="20"/>
          <w:lang w:val="en-US"/>
        </w:rPr>
        <w:t>esti</w:t>
      </w:r>
      <w:r w:rsidR="00516A5C">
        <w:rPr>
          <w:rFonts w:ascii="Arial" w:hAnsi="Arial" w:cs="Arial"/>
          <w:b/>
          <w:sz w:val="20"/>
          <w:lang w:val="en-US"/>
        </w:rPr>
        <w:t>t</w:t>
      </w:r>
      <w:r w:rsidRPr="008924CF">
        <w:rPr>
          <w:rFonts w:ascii="Arial" w:hAnsi="Arial" w:cs="Arial"/>
          <w:b/>
          <w:sz w:val="20"/>
          <w:lang w:val="en-US"/>
        </w:rPr>
        <w:t>ii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</w:t>
      </w:r>
      <w:r w:rsidR="00516A5C">
        <w:rPr>
          <w:rFonts w:ascii="Arial" w:hAnsi="Arial" w:cs="Arial"/>
          <w:b/>
          <w:sz w:val="20"/>
          <w:lang w:val="en-US"/>
        </w:rPr>
        <w:t>i</w:t>
      </w:r>
      <w:r w:rsidRPr="008924CF">
        <w:rPr>
          <w:rFonts w:ascii="Arial" w:hAnsi="Arial" w:cs="Arial"/>
          <w:b/>
          <w:sz w:val="20"/>
          <w:lang w:val="en-US"/>
        </w:rPr>
        <w:t xml:space="preserve">n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anul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2017</w:t>
      </w:r>
      <w:r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516A5C"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  <w:lang w:val="en-US"/>
        </w:rPr>
        <w:t>nregistr</w:t>
      </w:r>
      <w:r w:rsidR="00516A5C">
        <w:rPr>
          <w:rFonts w:ascii="Arial" w:hAnsi="Arial" w:cs="Arial"/>
          <w:sz w:val="20"/>
          <w:lang w:val="en-US"/>
        </w:rPr>
        <w:t>a</w:t>
      </w:r>
      <w:r>
        <w:rPr>
          <w:rFonts w:ascii="Arial" w:hAnsi="Arial" w:cs="Arial"/>
          <w:sz w:val="20"/>
          <w:lang w:val="en-US"/>
        </w:rPr>
        <w:t>nd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astfel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lang w:val="en-US"/>
        </w:rPr>
        <w:t>un</w:t>
      </w:r>
      <w:proofErr w:type="gram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raport</w:t>
      </w:r>
      <w:proofErr w:type="spellEnd"/>
      <w:r>
        <w:rPr>
          <w:rFonts w:ascii="Arial" w:hAnsi="Arial" w:cs="Arial"/>
          <w:sz w:val="20"/>
          <w:lang w:val="en-US"/>
        </w:rPr>
        <w:t xml:space="preserve"> Capex/ </w:t>
      </w:r>
      <w:proofErr w:type="spellStart"/>
      <w:r>
        <w:rPr>
          <w:rFonts w:ascii="Arial" w:hAnsi="Arial" w:cs="Arial"/>
          <w:sz w:val="20"/>
          <w:lang w:val="en-US"/>
        </w:rPr>
        <w:t>Amortizare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supraunitar</w:t>
      </w:r>
      <w:proofErr w:type="spellEnd"/>
      <w:r>
        <w:rPr>
          <w:rFonts w:ascii="Arial" w:hAnsi="Arial" w:cs="Arial"/>
          <w:sz w:val="20"/>
          <w:lang w:val="en-US"/>
        </w:rPr>
        <w:t xml:space="preserve">. </w:t>
      </w:r>
    </w:p>
    <w:p w:rsidR="00DA7D2A" w:rsidRPr="00C67C9C" w:rsidRDefault="00DA7D2A" w:rsidP="00945385">
      <w:pPr>
        <w:spacing w:after="120" w:line="240" w:lineRule="auto"/>
        <w:jc w:val="both"/>
        <w:rPr>
          <w:rFonts w:ascii="Arial" w:hAnsi="Arial" w:cs="Arial"/>
          <w:b/>
          <w:sz w:val="20"/>
          <w:lang w:val="en-US"/>
        </w:rPr>
      </w:pPr>
      <w:proofErr w:type="spellStart"/>
      <w:r w:rsidRPr="00C67C9C">
        <w:rPr>
          <w:rFonts w:ascii="Arial" w:hAnsi="Arial" w:cs="Arial"/>
          <w:b/>
          <w:sz w:val="20"/>
          <w:lang w:val="en-US"/>
        </w:rPr>
        <w:t>Vulnerabiilit</w:t>
      </w:r>
      <w:r w:rsidR="00516A5C">
        <w:rPr>
          <w:rFonts w:ascii="Arial" w:hAnsi="Arial" w:cs="Arial"/>
          <w:b/>
          <w:sz w:val="20"/>
          <w:lang w:val="en-US"/>
        </w:rPr>
        <w:t>at</w:t>
      </w:r>
      <w:r w:rsidRPr="00C67C9C">
        <w:rPr>
          <w:rFonts w:ascii="Arial" w:hAnsi="Arial" w:cs="Arial"/>
          <w:b/>
          <w:sz w:val="20"/>
          <w:lang w:val="en-US"/>
        </w:rPr>
        <w:t>i</w:t>
      </w:r>
      <w:proofErr w:type="spellEnd"/>
      <w:r w:rsidRPr="00C67C9C">
        <w:rPr>
          <w:rFonts w:ascii="Arial" w:hAnsi="Arial" w:cs="Arial"/>
          <w:b/>
          <w:sz w:val="20"/>
          <w:lang w:val="en-US"/>
        </w:rPr>
        <w:t xml:space="preserve">: </w:t>
      </w:r>
    </w:p>
    <w:p w:rsidR="00DA7D2A" w:rsidRDefault="008924CF" w:rsidP="00945385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Aproape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jum</w:t>
      </w:r>
      <w:r w:rsidR="00516A5C">
        <w:rPr>
          <w:rFonts w:ascii="Arial" w:hAnsi="Arial" w:cs="Arial"/>
          <w:sz w:val="20"/>
          <w:lang w:val="en-US"/>
        </w:rPr>
        <w:t>a</w:t>
      </w:r>
      <w:r>
        <w:rPr>
          <w:rFonts w:ascii="Arial" w:hAnsi="Arial" w:cs="Arial"/>
          <w:sz w:val="20"/>
          <w:lang w:val="en-US"/>
        </w:rPr>
        <w:t>tate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dintre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companiile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analizate</w:t>
      </w:r>
      <w:proofErr w:type="spellEnd"/>
      <w:r>
        <w:rPr>
          <w:rFonts w:ascii="Arial" w:hAnsi="Arial" w:cs="Arial"/>
          <w:sz w:val="20"/>
          <w:lang w:val="en-US"/>
        </w:rPr>
        <w:t xml:space="preserve"> (46%) au </w:t>
      </w:r>
      <w:proofErr w:type="spellStart"/>
      <w:r w:rsidR="00516A5C"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  <w:lang w:val="en-US"/>
        </w:rPr>
        <w:t>nregistrat</w:t>
      </w:r>
      <w:proofErr w:type="spellEnd"/>
      <w:r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sc</w:t>
      </w:r>
      <w:r w:rsidR="00516A5C">
        <w:rPr>
          <w:rFonts w:ascii="Arial" w:hAnsi="Arial" w:cs="Arial"/>
          <w:b/>
          <w:sz w:val="20"/>
          <w:lang w:val="en-US"/>
        </w:rPr>
        <w:t>a</w:t>
      </w:r>
      <w:r w:rsidRPr="008924CF">
        <w:rPr>
          <w:rFonts w:ascii="Arial" w:hAnsi="Arial" w:cs="Arial"/>
          <w:b/>
          <w:sz w:val="20"/>
          <w:lang w:val="en-US"/>
        </w:rPr>
        <w:t>dere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a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cifrei</w:t>
      </w:r>
      <w:proofErr w:type="spellEnd"/>
      <w:r w:rsidRPr="008924CF">
        <w:rPr>
          <w:rFonts w:ascii="Arial" w:hAnsi="Arial" w:cs="Arial"/>
          <w:b/>
          <w:sz w:val="20"/>
          <w:lang w:val="en-US"/>
        </w:rPr>
        <w:t xml:space="preserve"> de </w:t>
      </w:r>
      <w:proofErr w:type="spellStart"/>
      <w:r w:rsidRPr="008924CF">
        <w:rPr>
          <w:rFonts w:ascii="Arial" w:hAnsi="Arial" w:cs="Arial"/>
          <w:b/>
          <w:sz w:val="20"/>
          <w:lang w:val="en-US"/>
        </w:rPr>
        <w:t>afaceri</w:t>
      </w:r>
      <w:proofErr w:type="spellEnd"/>
      <w:r>
        <w:rPr>
          <w:rFonts w:ascii="Arial" w:hAnsi="Arial" w:cs="Arial"/>
          <w:sz w:val="20"/>
          <w:lang w:val="en-US"/>
        </w:rPr>
        <w:t xml:space="preserve">: </w:t>
      </w:r>
    </w:p>
    <w:p w:rsidR="008924CF" w:rsidRDefault="008924CF" w:rsidP="00945385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Mai </w:t>
      </w:r>
      <w:proofErr w:type="spellStart"/>
      <w:r>
        <w:rPr>
          <w:rFonts w:ascii="Arial" w:hAnsi="Arial" w:cs="Arial"/>
          <w:sz w:val="20"/>
          <w:lang w:val="en-US"/>
        </w:rPr>
        <w:t>mult</w:t>
      </w:r>
      <w:proofErr w:type="spellEnd"/>
      <w:r>
        <w:rPr>
          <w:rFonts w:ascii="Arial" w:hAnsi="Arial" w:cs="Arial"/>
          <w:sz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lang w:val="en-US"/>
        </w:rPr>
        <w:t>jum</w:t>
      </w:r>
      <w:r w:rsidR="00516A5C">
        <w:rPr>
          <w:rFonts w:ascii="Arial" w:hAnsi="Arial" w:cs="Arial"/>
          <w:sz w:val="20"/>
          <w:lang w:val="en-US"/>
        </w:rPr>
        <w:t>a</w:t>
      </w:r>
      <w:r>
        <w:rPr>
          <w:rFonts w:ascii="Arial" w:hAnsi="Arial" w:cs="Arial"/>
          <w:sz w:val="20"/>
          <w:lang w:val="en-US"/>
        </w:rPr>
        <w:t>tate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dintre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companii</w:t>
      </w:r>
      <w:proofErr w:type="spellEnd"/>
      <w:r>
        <w:rPr>
          <w:rFonts w:ascii="Arial" w:hAnsi="Arial" w:cs="Arial"/>
          <w:sz w:val="20"/>
          <w:lang w:val="en-US"/>
        </w:rPr>
        <w:t xml:space="preserve"> (58%) au </w:t>
      </w:r>
      <w:proofErr w:type="spellStart"/>
      <w:r w:rsidR="00516A5C"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  <w:lang w:val="en-US"/>
        </w:rPr>
        <w:t>nregistrat</w:t>
      </w:r>
      <w:proofErr w:type="spellEnd"/>
      <w:r>
        <w:rPr>
          <w:rFonts w:ascii="Arial" w:hAnsi="Arial" w:cs="Arial"/>
          <w:sz w:val="20"/>
          <w:lang w:val="en-US"/>
        </w:rPr>
        <w:t xml:space="preserve"> o </w:t>
      </w:r>
      <w:proofErr w:type="spellStart"/>
      <w:r w:rsidRPr="008F4D89">
        <w:rPr>
          <w:rFonts w:ascii="Arial" w:hAnsi="Arial" w:cs="Arial"/>
          <w:b/>
          <w:sz w:val="20"/>
          <w:lang w:val="en-US"/>
        </w:rPr>
        <w:t>sc</w:t>
      </w:r>
      <w:r w:rsidR="00516A5C">
        <w:rPr>
          <w:rFonts w:ascii="Arial" w:hAnsi="Arial" w:cs="Arial"/>
          <w:b/>
          <w:sz w:val="20"/>
          <w:lang w:val="en-US"/>
        </w:rPr>
        <w:t>a</w:t>
      </w:r>
      <w:r w:rsidRPr="008F4D89">
        <w:rPr>
          <w:rFonts w:ascii="Arial" w:hAnsi="Arial" w:cs="Arial"/>
          <w:b/>
          <w:sz w:val="20"/>
          <w:lang w:val="en-US"/>
        </w:rPr>
        <w:t>dere</w:t>
      </w:r>
      <w:proofErr w:type="spellEnd"/>
      <w:r w:rsidRPr="008F4D89">
        <w:rPr>
          <w:rFonts w:ascii="Arial" w:hAnsi="Arial" w:cs="Arial"/>
          <w:b/>
          <w:sz w:val="20"/>
          <w:lang w:val="en-US"/>
        </w:rPr>
        <w:t xml:space="preserve"> a </w:t>
      </w:r>
      <w:proofErr w:type="spellStart"/>
      <w:r w:rsidRPr="008F4D89">
        <w:rPr>
          <w:rFonts w:ascii="Arial" w:hAnsi="Arial" w:cs="Arial"/>
          <w:b/>
          <w:sz w:val="20"/>
          <w:lang w:val="en-US"/>
        </w:rPr>
        <w:t>rezultatului</w:t>
      </w:r>
      <w:proofErr w:type="spellEnd"/>
      <w:r w:rsidRPr="008F4D89">
        <w:rPr>
          <w:rFonts w:ascii="Arial" w:hAnsi="Arial" w:cs="Arial"/>
          <w:b/>
          <w:sz w:val="20"/>
          <w:lang w:val="en-US"/>
        </w:rPr>
        <w:t xml:space="preserve"> net</w:t>
      </w:r>
      <w:r w:rsidR="008F4D89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8F4D89">
        <w:rPr>
          <w:rFonts w:ascii="Arial" w:hAnsi="Arial" w:cs="Arial"/>
          <w:sz w:val="20"/>
          <w:lang w:val="en-US"/>
        </w:rPr>
        <w:t>ceea</w:t>
      </w:r>
      <w:proofErr w:type="spellEnd"/>
      <w:r w:rsidR="008F4D89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F4D89">
        <w:rPr>
          <w:rFonts w:ascii="Arial" w:hAnsi="Arial" w:cs="Arial"/>
          <w:sz w:val="20"/>
          <w:lang w:val="en-US"/>
        </w:rPr>
        <w:t>ce</w:t>
      </w:r>
      <w:proofErr w:type="spellEnd"/>
      <w:r w:rsidR="008F4D89">
        <w:rPr>
          <w:rFonts w:ascii="Arial" w:hAnsi="Arial" w:cs="Arial"/>
          <w:sz w:val="20"/>
          <w:lang w:val="en-US"/>
        </w:rPr>
        <w:t xml:space="preserve"> a </w:t>
      </w:r>
      <w:proofErr w:type="spellStart"/>
      <w:r w:rsidR="008F4D89">
        <w:rPr>
          <w:rFonts w:ascii="Arial" w:hAnsi="Arial" w:cs="Arial"/>
          <w:sz w:val="20"/>
          <w:lang w:val="en-US"/>
        </w:rPr>
        <w:t>dus</w:t>
      </w:r>
      <w:proofErr w:type="spellEnd"/>
      <w:r w:rsidR="008F4D89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516A5C">
        <w:rPr>
          <w:rFonts w:ascii="Arial" w:hAnsi="Arial" w:cs="Arial"/>
          <w:sz w:val="20"/>
          <w:lang w:val="en-US"/>
        </w:rPr>
        <w:t>s</w:t>
      </w:r>
      <w:r w:rsidR="008F4D89">
        <w:rPr>
          <w:rFonts w:ascii="Arial" w:hAnsi="Arial" w:cs="Arial"/>
          <w:sz w:val="20"/>
          <w:lang w:val="en-US"/>
        </w:rPr>
        <w:t>i</w:t>
      </w:r>
      <w:proofErr w:type="spellEnd"/>
      <w:r w:rsidR="008F4D89">
        <w:rPr>
          <w:rFonts w:ascii="Arial" w:hAnsi="Arial" w:cs="Arial"/>
          <w:sz w:val="20"/>
          <w:lang w:val="en-US"/>
        </w:rPr>
        <w:t xml:space="preserve"> la </w:t>
      </w:r>
      <w:proofErr w:type="spellStart"/>
      <w:r w:rsidR="008F4D89">
        <w:rPr>
          <w:rFonts w:ascii="Arial" w:hAnsi="Arial" w:cs="Arial"/>
          <w:sz w:val="20"/>
          <w:lang w:val="en-US"/>
        </w:rPr>
        <w:t>sc</w:t>
      </w:r>
      <w:r w:rsidR="00516A5C">
        <w:rPr>
          <w:rFonts w:ascii="Arial" w:hAnsi="Arial" w:cs="Arial"/>
          <w:sz w:val="20"/>
          <w:lang w:val="en-US"/>
        </w:rPr>
        <w:t>a</w:t>
      </w:r>
      <w:r w:rsidR="008F4D89">
        <w:rPr>
          <w:rFonts w:ascii="Arial" w:hAnsi="Arial" w:cs="Arial"/>
          <w:sz w:val="20"/>
          <w:lang w:val="en-US"/>
        </w:rPr>
        <w:t>derea</w:t>
      </w:r>
      <w:proofErr w:type="spellEnd"/>
      <w:r w:rsidR="008F4D89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F4D89">
        <w:rPr>
          <w:rFonts w:ascii="Arial" w:hAnsi="Arial" w:cs="Arial"/>
          <w:sz w:val="20"/>
          <w:lang w:val="en-US"/>
        </w:rPr>
        <w:t>profitabilit</w:t>
      </w:r>
      <w:r w:rsidR="00516A5C">
        <w:rPr>
          <w:rFonts w:ascii="Arial" w:hAnsi="Arial" w:cs="Arial"/>
          <w:sz w:val="20"/>
          <w:lang w:val="en-US"/>
        </w:rPr>
        <w:t>at</w:t>
      </w:r>
      <w:r w:rsidR="008F4D89">
        <w:rPr>
          <w:rFonts w:ascii="Arial" w:hAnsi="Arial" w:cs="Arial"/>
          <w:sz w:val="20"/>
          <w:lang w:val="en-US"/>
        </w:rPr>
        <w:t>ii</w:t>
      </w:r>
      <w:proofErr w:type="spellEnd"/>
      <w:r w:rsidR="008F4D89">
        <w:rPr>
          <w:rFonts w:ascii="Arial" w:hAnsi="Arial" w:cs="Arial"/>
          <w:sz w:val="20"/>
          <w:lang w:val="en-US"/>
        </w:rPr>
        <w:t xml:space="preserve"> consolidate; </w:t>
      </w:r>
    </w:p>
    <w:p w:rsidR="008F4D89" w:rsidRPr="00DA7D2A" w:rsidRDefault="008F4D89" w:rsidP="00945385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46% </w:t>
      </w:r>
      <w:proofErr w:type="spellStart"/>
      <w:r>
        <w:rPr>
          <w:rFonts w:ascii="Arial" w:hAnsi="Arial" w:cs="Arial"/>
          <w:sz w:val="20"/>
          <w:lang w:val="en-US"/>
        </w:rPr>
        <w:t>dintre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companiile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analizate</w:t>
      </w:r>
      <w:proofErr w:type="spellEnd"/>
      <w:r>
        <w:rPr>
          <w:rFonts w:ascii="Arial" w:hAnsi="Arial" w:cs="Arial"/>
          <w:sz w:val="20"/>
          <w:lang w:val="en-US"/>
        </w:rPr>
        <w:t xml:space="preserve"> au </w:t>
      </w:r>
      <w:proofErr w:type="spellStart"/>
      <w:r w:rsidRPr="008F4D89">
        <w:rPr>
          <w:rFonts w:ascii="Arial" w:hAnsi="Arial" w:cs="Arial"/>
          <w:b/>
          <w:sz w:val="20"/>
          <w:lang w:val="en-US"/>
        </w:rPr>
        <w:t>gradul</w:t>
      </w:r>
      <w:proofErr w:type="spellEnd"/>
      <w:r w:rsidRPr="008F4D89">
        <w:rPr>
          <w:rFonts w:ascii="Arial" w:hAnsi="Arial" w:cs="Arial"/>
          <w:b/>
          <w:sz w:val="20"/>
          <w:lang w:val="en-US"/>
        </w:rPr>
        <w:t xml:space="preserve"> de </w:t>
      </w:r>
      <w:proofErr w:type="spellStart"/>
      <w:r w:rsidR="00516A5C">
        <w:rPr>
          <w:rFonts w:ascii="Arial" w:hAnsi="Arial" w:cs="Arial"/>
          <w:b/>
          <w:sz w:val="20"/>
          <w:lang w:val="en-US"/>
        </w:rPr>
        <w:t>i</w:t>
      </w:r>
      <w:r w:rsidRPr="008F4D89">
        <w:rPr>
          <w:rFonts w:ascii="Arial" w:hAnsi="Arial" w:cs="Arial"/>
          <w:b/>
          <w:sz w:val="20"/>
          <w:lang w:val="en-US"/>
        </w:rPr>
        <w:t>ndatorare</w:t>
      </w:r>
      <w:proofErr w:type="spellEnd"/>
      <w:r w:rsidRPr="008F4D89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F4D89">
        <w:rPr>
          <w:rFonts w:ascii="Arial" w:hAnsi="Arial" w:cs="Arial"/>
          <w:b/>
          <w:sz w:val="20"/>
          <w:lang w:val="en-US"/>
        </w:rPr>
        <w:t>peste</w:t>
      </w:r>
      <w:proofErr w:type="spellEnd"/>
      <w:r w:rsidRPr="008F4D89">
        <w:rPr>
          <w:rFonts w:ascii="Arial" w:hAnsi="Arial" w:cs="Arial"/>
          <w:b/>
          <w:sz w:val="20"/>
          <w:lang w:val="en-US"/>
        </w:rPr>
        <w:t xml:space="preserve"> 80%</w:t>
      </w:r>
      <w:r>
        <w:rPr>
          <w:rFonts w:ascii="Arial" w:hAnsi="Arial" w:cs="Arial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lang w:val="en-US"/>
        </w:rPr>
        <w:t>iar</w:t>
      </w:r>
      <w:proofErr w:type="spellEnd"/>
      <w:r>
        <w:rPr>
          <w:rFonts w:ascii="Arial" w:hAnsi="Arial" w:cs="Arial"/>
          <w:sz w:val="20"/>
          <w:lang w:val="en-US"/>
        </w:rPr>
        <w:t xml:space="preserve"> 31% </w:t>
      </w:r>
      <w:proofErr w:type="spellStart"/>
      <w:r>
        <w:rPr>
          <w:rFonts w:ascii="Arial" w:hAnsi="Arial" w:cs="Arial"/>
          <w:sz w:val="20"/>
          <w:lang w:val="en-US"/>
        </w:rPr>
        <w:t>prezint</w:t>
      </w:r>
      <w:r w:rsidR="00516A5C">
        <w:rPr>
          <w:rFonts w:ascii="Arial" w:hAnsi="Arial" w:cs="Arial"/>
          <w:sz w:val="20"/>
          <w:lang w:val="en-US"/>
        </w:rPr>
        <w:t>a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lang w:val="en-US"/>
        </w:rPr>
        <w:t>un</w:t>
      </w:r>
      <w:proofErr w:type="gramEnd"/>
      <w:r>
        <w:rPr>
          <w:rFonts w:ascii="Arial" w:hAnsi="Arial" w:cs="Arial"/>
          <w:sz w:val="20"/>
          <w:lang w:val="en-US"/>
        </w:rPr>
        <w:t xml:space="preserve"> grad de </w:t>
      </w:r>
      <w:proofErr w:type="spellStart"/>
      <w:r>
        <w:rPr>
          <w:rFonts w:ascii="Arial" w:hAnsi="Arial" w:cs="Arial"/>
          <w:sz w:val="20"/>
          <w:lang w:val="en-US"/>
        </w:rPr>
        <w:t>capitalizare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negativ</w:t>
      </w:r>
      <w:proofErr w:type="spellEnd"/>
      <w:r>
        <w:rPr>
          <w:rFonts w:ascii="Arial" w:hAnsi="Arial" w:cs="Arial"/>
          <w:sz w:val="20"/>
          <w:lang w:val="en-US"/>
        </w:rPr>
        <w:t xml:space="preserve">. </w:t>
      </w:r>
    </w:p>
    <w:p w:rsidR="008C0155" w:rsidRDefault="008C0155" w:rsidP="0094538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8C0155">
        <w:rPr>
          <w:rFonts w:ascii="Arial" w:hAnsi="Arial" w:cs="Arial"/>
          <w:sz w:val="20"/>
        </w:rPr>
        <w:t>Companiile care activeaz</w:t>
      </w:r>
      <w:r w:rsidR="00516A5C">
        <w:rPr>
          <w:rFonts w:ascii="Arial" w:hAnsi="Arial" w:cs="Arial"/>
          <w:sz w:val="20"/>
        </w:rPr>
        <w:t>a</w:t>
      </w:r>
      <w:r w:rsidRPr="008C0155">
        <w:rPr>
          <w:rFonts w:ascii="Arial" w:hAnsi="Arial" w:cs="Arial"/>
          <w:sz w:val="20"/>
        </w:rPr>
        <w:t xml:space="preserve"> </w:t>
      </w:r>
      <w:r w:rsidR="00516A5C">
        <w:rPr>
          <w:rFonts w:ascii="Arial" w:hAnsi="Arial" w:cs="Arial"/>
          <w:sz w:val="20"/>
        </w:rPr>
        <w:t>i</w:t>
      </w:r>
      <w:r w:rsidRPr="008C0155">
        <w:rPr>
          <w:rFonts w:ascii="Arial" w:hAnsi="Arial" w:cs="Arial"/>
          <w:sz w:val="20"/>
        </w:rPr>
        <w:t xml:space="preserve">n acest sector de activitate au </w:t>
      </w:r>
      <w:r w:rsidR="00516A5C">
        <w:rPr>
          <w:rFonts w:ascii="Arial" w:hAnsi="Arial" w:cs="Arial"/>
          <w:sz w:val="20"/>
        </w:rPr>
        <w:t>i</w:t>
      </w:r>
      <w:r w:rsidRPr="008C0155">
        <w:rPr>
          <w:rFonts w:ascii="Arial" w:hAnsi="Arial" w:cs="Arial"/>
          <w:sz w:val="20"/>
        </w:rPr>
        <w:t xml:space="preserve">nregistrat cu rezultat net consolidat de 3,4% </w:t>
      </w:r>
      <w:r w:rsidR="00516A5C">
        <w:rPr>
          <w:rFonts w:ascii="Arial" w:hAnsi="Arial" w:cs="Arial"/>
          <w:sz w:val="20"/>
        </w:rPr>
        <w:t>i</w:t>
      </w:r>
      <w:r w:rsidRPr="008C0155">
        <w:rPr>
          <w:rFonts w:ascii="Arial" w:hAnsi="Arial" w:cs="Arial"/>
          <w:sz w:val="20"/>
        </w:rPr>
        <w:t xml:space="preserve">n 2017, </w:t>
      </w:r>
      <w:r w:rsidR="00516A5C">
        <w:rPr>
          <w:rFonts w:ascii="Arial" w:hAnsi="Arial" w:cs="Arial"/>
          <w:sz w:val="20"/>
        </w:rPr>
        <w:t>i</w:t>
      </w:r>
      <w:r w:rsidRPr="008C0155">
        <w:rPr>
          <w:rFonts w:ascii="Arial" w:hAnsi="Arial" w:cs="Arial"/>
          <w:sz w:val="20"/>
        </w:rPr>
        <w:t>n sc</w:t>
      </w:r>
      <w:r w:rsidR="00516A5C">
        <w:rPr>
          <w:rFonts w:ascii="Arial" w:hAnsi="Arial" w:cs="Arial"/>
          <w:sz w:val="20"/>
        </w:rPr>
        <w:t>a</w:t>
      </w:r>
      <w:r w:rsidRPr="008C0155">
        <w:rPr>
          <w:rFonts w:ascii="Arial" w:hAnsi="Arial" w:cs="Arial"/>
          <w:sz w:val="20"/>
        </w:rPr>
        <w:t>dere fa</w:t>
      </w:r>
      <w:r w:rsidR="00516A5C">
        <w:rPr>
          <w:rFonts w:ascii="Arial" w:hAnsi="Arial" w:cs="Arial"/>
          <w:sz w:val="20"/>
        </w:rPr>
        <w:t>ta</w:t>
      </w:r>
      <w:r w:rsidRPr="008C0155">
        <w:rPr>
          <w:rFonts w:ascii="Arial" w:hAnsi="Arial" w:cs="Arial"/>
          <w:sz w:val="20"/>
        </w:rPr>
        <w:t xml:space="preserve"> de anul precedent </w:t>
      </w:r>
      <w:r>
        <w:rPr>
          <w:rFonts w:ascii="Arial" w:hAnsi="Arial" w:cs="Arial"/>
          <w:sz w:val="20"/>
        </w:rPr>
        <w:t>cu 0,5%. Din totalul acestor companii, mai mult de jum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tate au raportat o sc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dere a rezultatului net pentru anul 2017,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 timp ce 25% dintre acestea au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nregistrat o pierdere net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 aceea</w:t>
      </w:r>
      <w:r w:rsidR="00516A5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 perioad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, iar 14% dintre acestea au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nregistrat o pierdere mai mare de 20%. Doar 22% dintre companiile analizate au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nregistrat un profit mai mare de 20%. </w:t>
      </w:r>
    </w:p>
    <w:p w:rsidR="008C0155" w:rsidRDefault="008C0155" w:rsidP="0094538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Investi</w:t>
      </w:r>
      <w:r w:rsidR="00516A5C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iile pentru extinderea activelor fixe au ocupat un loc semnificativ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 alegerile companiilor din sectorul analizat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 decursul anului 2017. </w:t>
      </w:r>
      <w:r w:rsidR="00C644E4">
        <w:rPr>
          <w:rFonts w:ascii="Arial" w:hAnsi="Arial" w:cs="Arial"/>
          <w:sz w:val="20"/>
        </w:rPr>
        <w:t>Astfel, elimin</w:t>
      </w:r>
      <w:r w:rsidR="00516A5C"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>nd impactul v</w:t>
      </w:r>
      <w:r w:rsidR="00516A5C"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>nz</w:t>
      </w:r>
      <w:r w:rsidR="00516A5C"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>rii de active corporale sau ajust</w:t>
      </w:r>
      <w:r w:rsidR="00516A5C"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 xml:space="preserve">rii pentru depreciere, ponderea CAPEX </w:t>
      </w:r>
      <w:r w:rsidR="00516A5C">
        <w:rPr>
          <w:rFonts w:ascii="Arial" w:hAnsi="Arial" w:cs="Arial"/>
          <w:sz w:val="20"/>
        </w:rPr>
        <w:t>i</w:t>
      </w:r>
      <w:r w:rsidR="00C644E4">
        <w:rPr>
          <w:rFonts w:ascii="Arial" w:hAnsi="Arial" w:cs="Arial"/>
          <w:sz w:val="20"/>
        </w:rPr>
        <w:t xml:space="preserve">n total active a ajuns la 14%, </w:t>
      </w:r>
      <w:r w:rsidR="00516A5C">
        <w:rPr>
          <w:rFonts w:ascii="Arial" w:hAnsi="Arial" w:cs="Arial"/>
          <w:sz w:val="20"/>
        </w:rPr>
        <w:t>i</w:t>
      </w:r>
      <w:r w:rsidR="00C644E4">
        <w:rPr>
          <w:rFonts w:ascii="Arial" w:hAnsi="Arial" w:cs="Arial"/>
          <w:sz w:val="20"/>
        </w:rPr>
        <w:t>n sc</w:t>
      </w:r>
      <w:r w:rsidR="00516A5C"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>dere fa</w:t>
      </w:r>
      <w:r w:rsidR="00516A5C">
        <w:rPr>
          <w:rFonts w:ascii="Arial" w:hAnsi="Arial" w:cs="Arial"/>
          <w:sz w:val="20"/>
        </w:rPr>
        <w:t>ta</w:t>
      </w:r>
      <w:r w:rsidR="00C644E4">
        <w:rPr>
          <w:rFonts w:ascii="Arial" w:hAnsi="Arial" w:cs="Arial"/>
          <w:sz w:val="20"/>
        </w:rPr>
        <w:t xml:space="preserve"> de anul precedent, c</w:t>
      </w:r>
      <w:r w:rsidR="00516A5C"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 xml:space="preserve">nd ponderea CAPEX </w:t>
      </w:r>
      <w:r w:rsidR="00516A5C">
        <w:rPr>
          <w:rFonts w:ascii="Arial" w:hAnsi="Arial" w:cs="Arial"/>
          <w:sz w:val="20"/>
        </w:rPr>
        <w:t>i</w:t>
      </w:r>
      <w:r w:rsidR="00C644E4">
        <w:rPr>
          <w:rFonts w:ascii="Arial" w:hAnsi="Arial" w:cs="Arial"/>
          <w:sz w:val="20"/>
        </w:rPr>
        <w:t xml:space="preserve">n total active a fost de 18%. </w:t>
      </w:r>
    </w:p>
    <w:p w:rsidR="008C0155" w:rsidRDefault="00516A5C" w:rsidP="0094538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644E4">
        <w:rPr>
          <w:rFonts w:ascii="Arial" w:hAnsi="Arial" w:cs="Arial"/>
          <w:sz w:val="20"/>
        </w:rPr>
        <w:t>n urma analizei evolu</w:t>
      </w:r>
      <w:r>
        <w:rPr>
          <w:rFonts w:ascii="Arial" w:hAnsi="Arial" w:cs="Arial"/>
          <w:sz w:val="20"/>
        </w:rPr>
        <w:t>t</w:t>
      </w:r>
      <w:r w:rsidR="00C644E4">
        <w:rPr>
          <w:rFonts w:ascii="Arial" w:hAnsi="Arial" w:cs="Arial"/>
          <w:sz w:val="20"/>
        </w:rPr>
        <w:t>iei companiilor din acest sector de activitate, cu cifra de afaceri mai mare de 1 MIL EUR, din punct de vedere al frecven</w:t>
      </w:r>
      <w:r>
        <w:rPr>
          <w:rFonts w:ascii="Arial" w:hAnsi="Arial" w:cs="Arial"/>
          <w:sz w:val="20"/>
        </w:rPr>
        <w:t>t</w:t>
      </w:r>
      <w:r w:rsidR="00C644E4">
        <w:rPr>
          <w:rFonts w:ascii="Arial" w:hAnsi="Arial" w:cs="Arial"/>
          <w:sz w:val="20"/>
        </w:rPr>
        <w:t>ei inciden</w:t>
      </w:r>
      <w:r>
        <w:rPr>
          <w:rFonts w:ascii="Arial" w:hAnsi="Arial" w:cs="Arial"/>
          <w:sz w:val="20"/>
        </w:rPr>
        <w:t>t</w:t>
      </w:r>
      <w:r w:rsidR="00C644E4">
        <w:rPr>
          <w:rFonts w:ascii="Arial" w:hAnsi="Arial" w:cs="Arial"/>
          <w:sz w:val="20"/>
        </w:rPr>
        <w:t>eor bancare, se observ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 xml:space="preserve"> faptul c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 xml:space="preserve"> aceasta a sc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 xml:space="preserve">zut </w:t>
      </w:r>
      <w:r>
        <w:rPr>
          <w:rFonts w:ascii="Arial" w:hAnsi="Arial" w:cs="Arial"/>
          <w:sz w:val="20"/>
        </w:rPr>
        <w:t>i</w:t>
      </w:r>
      <w:r w:rsidR="00C644E4">
        <w:rPr>
          <w:rFonts w:ascii="Arial" w:hAnsi="Arial" w:cs="Arial"/>
          <w:sz w:val="20"/>
        </w:rPr>
        <w:t>n prima parte a anului 2019 (p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 xml:space="preserve"> la nivelul lunii iulie) comparativ cu anii preceden</w:t>
      </w:r>
      <w:r>
        <w:rPr>
          <w:rFonts w:ascii="Arial" w:hAnsi="Arial" w:cs="Arial"/>
          <w:sz w:val="20"/>
        </w:rPr>
        <w:t>t</w:t>
      </w:r>
      <w:r w:rsidR="00C644E4">
        <w:rPr>
          <w:rFonts w:ascii="Arial" w:hAnsi="Arial" w:cs="Arial"/>
          <w:sz w:val="20"/>
        </w:rPr>
        <w:t>i, c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>nd frecven</w:t>
      </w:r>
      <w:r>
        <w:rPr>
          <w:rFonts w:ascii="Arial" w:hAnsi="Arial" w:cs="Arial"/>
          <w:sz w:val="20"/>
        </w:rPr>
        <w:t>t</w:t>
      </w:r>
      <w:r w:rsidR="00C644E4">
        <w:rPr>
          <w:rFonts w:ascii="Arial" w:hAnsi="Arial" w:cs="Arial"/>
          <w:sz w:val="20"/>
        </w:rPr>
        <w:t>a inciden</w:t>
      </w:r>
      <w:r>
        <w:rPr>
          <w:rFonts w:ascii="Arial" w:hAnsi="Arial" w:cs="Arial"/>
          <w:sz w:val="20"/>
        </w:rPr>
        <w:t>t</w:t>
      </w:r>
      <w:r w:rsidR="00C644E4">
        <w:rPr>
          <w:rFonts w:ascii="Arial" w:hAnsi="Arial" w:cs="Arial"/>
          <w:sz w:val="20"/>
        </w:rPr>
        <w:t xml:space="preserve">elor bancare a fost </w:t>
      </w:r>
      <w:r>
        <w:rPr>
          <w:rFonts w:ascii="Arial" w:hAnsi="Arial" w:cs="Arial"/>
          <w:sz w:val="20"/>
        </w:rPr>
        <w:t>i</w:t>
      </w:r>
      <w:r w:rsidR="00C644E4">
        <w:rPr>
          <w:rFonts w:ascii="Arial" w:hAnsi="Arial" w:cs="Arial"/>
          <w:sz w:val="20"/>
        </w:rPr>
        <w:t>n cre</w:t>
      </w:r>
      <w:r>
        <w:rPr>
          <w:rFonts w:ascii="Arial" w:hAnsi="Arial" w:cs="Arial"/>
          <w:sz w:val="20"/>
        </w:rPr>
        <w:t>s</w:t>
      </w:r>
      <w:r w:rsidR="00C644E4">
        <w:rPr>
          <w:rFonts w:ascii="Arial" w:hAnsi="Arial" w:cs="Arial"/>
          <w:sz w:val="20"/>
        </w:rPr>
        <w:t>tere (</w:t>
      </w:r>
      <w:r>
        <w:rPr>
          <w:rFonts w:ascii="Arial" w:hAnsi="Arial" w:cs="Arial"/>
          <w:sz w:val="20"/>
        </w:rPr>
        <w:t>i</w:t>
      </w:r>
      <w:r w:rsidR="00C644E4">
        <w:rPr>
          <w:rFonts w:ascii="Arial" w:hAnsi="Arial" w:cs="Arial"/>
          <w:sz w:val="20"/>
        </w:rPr>
        <w:t>n 2016 – 2018, at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>t num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>rul inciden</w:t>
      </w:r>
      <w:r>
        <w:rPr>
          <w:rFonts w:ascii="Arial" w:hAnsi="Arial" w:cs="Arial"/>
          <w:sz w:val="20"/>
        </w:rPr>
        <w:t>t</w:t>
      </w:r>
      <w:r w:rsidR="00C644E4">
        <w:rPr>
          <w:rFonts w:ascii="Arial" w:hAnsi="Arial" w:cs="Arial"/>
          <w:sz w:val="20"/>
        </w:rPr>
        <w:t>elor bancare, c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z w:val="20"/>
        </w:rPr>
        <w:t>s</w:t>
      </w:r>
      <w:r w:rsidR="00C644E4">
        <w:rPr>
          <w:rFonts w:ascii="Arial" w:hAnsi="Arial" w:cs="Arial"/>
          <w:sz w:val="20"/>
        </w:rPr>
        <w:t>i num</w:t>
      </w:r>
      <w:r>
        <w:rPr>
          <w:rFonts w:ascii="Arial" w:hAnsi="Arial" w:cs="Arial"/>
          <w:sz w:val="20"/>
        </w:rPr>
        <w:t>a</w:t>
      </w:r>
      <w:r w:rsidR="00C644E4">
        <w:rPr>
          <w:rFonts w:ascii="Arial" w:hAnsi="Arial" w:cs="Arial"/>
          <w:sz w:val="20"/>
        </w:rPr>
        <w:t xml:space="preserve">rul de companii care au </w:t>
      </w:r>
      <w:r>
        <w:rPr>
          <w:rFonts w:ascii="Arial" w:hAnsi="Arial" w:cs="Arial"/>
          <w:sz w:val="20"/>
        </w:rPr>
        <w:t>i</w:t>
      </w:r>
      <w:r w:rsidR="00C644E4">
        <w:rPr>
          <w:rFonts w:ascii="Arial" w:hAnsi="Arial" w:cs="Arial"/>
          <w:sz w:val="20"/>
        </w:rPr>
        <w:t>nregistrat inciden</w:t>
      </w:r>
      <w:r>
        <w:rPr>
          <w:rFonts w:ascii="Arial" w:hAnsi="Arial" w:cs="Arial"/>
          <w:sz w:val="20"/>
        </w:rPr>
        <w:t>t</w:t>
      </w:r>
      <w:r w:rsidR="00C644E4">
        <w:rPr>
          <w:rFonts w:ascii="Arial" w:hAnsi="Arial" w:cs="Arial"/>
          <w:sz w:val="20"/>
        </w:rPr>
        <w:t>e bancare, au fost in cre</w:t>
      </w:r>
      <w:r>
        <w:rPr>
          <w:rFonts w:ascii="Arial" w:hAnsi="Arial" w:cs="Arial"/>
          <w:sz w:val="20"/>
        </w:rPr>
        <w:t>s</w:t>
      </w:r>
      <w:r w:rsidR="00C644E4">
        <w:rPr>
          <w:rFonts w:ascii="Arial" w:hAnsi="Arial" w:cs="Arial"/>
          <w:sz w:val="20"/>
        </w:rPr>
        <w:t xml:space="preserve">tere). </w:t>
      </w:r>
    </w:p>
    <w:p w:rsidR="002A511A" w:rsidRPr="00E1119D" w:rsidRDefault="002A511A" w:rsidP="00945385">
      <w:pPr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E1119D">
        <w:rPr>
          <w:rFonts w:ascii="Arial" w:hAnsi="Arial" w:cs="Arial"/>
          <w:b/>
          <w:sz w:val="20"/>
        </w:rPr>
        <w:t>Tendin</w:t>
      </w:r>
      <w:r w:rsidR="00516A5C">
        <w:rPr>
          <w:rFonts w:ascii="Arial" w:hAnsi="Arial" w:cs="Arial"/>
          <w:b/>
          <w:sz w:val="20"/>
        </w:rPr>
        <w:t>t</w:t>
      </w:r>
      <w:r w:rsidRPr="00E1119D">
        <w:rPr>
          <w:rFonts w:ascii="Arial" w:hAnsi="Arial" w:cs="Arial"/>
          <w:b/>
          <w:sz w:val="20"/>
        </w:rPr>
        <w:t xml:space="preserve">e </w:t>
      </w:r>
      <w:r w:rsidR="00516A5C">
        <w:rPr>
          <w:rFonts w:ascii="Arial" w:hAnsi="Arial" w:cs="Arial"/>
          <w:b/>
          <w:sz w:val="20"/>
        </w:rPr>
        <w:t>i</w:t>
      </w:r>
      <w:r w:rsidRPr="00E1119D">
        <w:rPr>
          <w:rFonts w:ascii="Arial" w:hAnsi="Arial" w:cs="Arial"/>
          <w:b/>
          <w:sz w:val="20"/>
        </w:rPr>
        <w:t>n sector</w:t>
      </w:r>
      <w:r w:rsidR="00E1119D">
        <w:rPr>
          <w:rFonts w:ascii="Arial" w:hAnsi="Arial" w:cs="Arial"/>
          <w:b/>
          <w:sz w:val="20"/>
        </w:rPr>
        <w:t>ul Comer</w:t>
      </w:r>
      <w:r w:rsidR="00516A5C">
        <w:rPr>
          <w:rFonts w:ascii="Arial" w:hAnsi="Arial" w:cs="Arial"/>
          <w:b/>
          <w:sz w:val="20"/>
        </w:rPr>
        <w:t>t</w:t>
      </w:r>
      <w:r w:rsidR="00E1119D">
        <w:rPr>
          <w:rFonts w:ascii="Arial" w:hAnsi="Arial" w:cs="Arial"/>
          <w:b/>
          <w:sz w:val="20"/>
        </w:rPr>
        <w:t xml:space="preserve">ului cu ridicata al produselor farmaceutice </w:t>
      </w:r>
    </w:p>
    <w:p w:rsidR="00E1119D" w:rsidRDefault="00E1119D" w:rsidP="0094538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Datele publicate de INSSE, referitoare la balan</w:t>
      </w:r>
      <w:r w:rsidR="00516A5C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 comercial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a produselor farmaceutice, reflect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existen</w:t>
      </w:r>
      <w:r w:rsidR="00516A5C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a unui deficit pe parcursul perioadei analizate (2013 – 2018), ce a atins maximum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n anul </w:t>
      </w:r>
      <w:r>
        <w:rPr>
          <w:rFonts w:ascii="Arial" w:hAnsi="Arial" w:cs="Arial"/>
          <w:sz w:val="20"/>
        </w:rPr>
        <w:lastRenderedPageBreak/>
        <w:t>2018. Principalii parteneri ai Rom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niei pentru export, din afara Uniunii Europene, sunt: Rusia, Emiratele Arabe Unite </w:t>
      </w:r>
      <w:r w:rsidR="00516A5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 Statele Unite ale Americii, acestea trei reprezent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nd 55%. </w:t>
      </w:r>
    </w:p>
    <w:p w:rsidR="00037B66" w:rsidRDefault="00037B66" w:rsidP="00945385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8161C">
        <w:rPr>
          <w:rFonts w:ascii="Arial" w:eastAsia="Arial" w:hAnsi="Arial" w:cs="Arial"/>
          <w:i/>
          <w:sz w:val="20"/>
          <w:szCs w:val="20"/>
        </w:rPr>
        <w:t>„</w:t>
      </w:r>
      <w:r w:rsidRPr="00233427">
        <w:rPr>
          <w:rFonts w:ascii="Arial" w:eastAsia="Arial" w:hAnsi="Arial" w:cs="Arial"/>
          <w:i/>
          <w:sz w:val="20"/>
          <w:szCs w:val="20"/>
        </w:rPr>
        <w:t>Companiile din sectorul Comer</w:t>
      </w:r>
      <w:r w:rsidR="00516A5C">
        <w:rPr>
          <w:rFonts w:ascii="Arial" w:eastAsia="Arial" w:hAnsi="Arial" w:cs="Arial"/>
          <w:i/>
          <w:sz w:val="20"/>
          <w:szCs w:val="20"/>
        </w:rPr>
        <w:t>t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 cu ridicata al produselor farmaceutice au crescut din punct de vedere al veniturilor, dar profitabilitatea a evoluat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n sens invers. De asemenea, de</w:t>
      </w:r>
      <w:r w:rsidR="00516A5C">
        <w:rPr>
          <w:rFonts w:ascii="Arial" w:eastAsia="Arial" w:hAnsi="Arial" w:cs="Arial"/>
          <w:i/>
          <w:sz w:val="20"/>
          <w:szCs w:val="20"/>
        </w:rPr>
        <w:t>s</w:t>
      </w:r>
      <w:r w:rsidRPr="00233427">
        <w:rPr>
          <w:rFonts w:ascii="Arial" w:eastAsia="Arial" w:hAnsi="Arial" w:cs="Arial"/>
          <w:i/>
          <w:sz w:val="20"/>
          <w:szCs w:val="20"/>
        </w:rPr>
        <w:t>i la nivel consolidat se constat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 o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mbun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>t</w:t>
      </w:r>
      <w:r w:rsidR="00516A5C">
        <w:rPr>
          <w:rFonts w:ascii="Arial" w:eastAsia="Arial" w:hAnsi="Arial" w:cs="Arial"/>
          <w:i/>
          <w:sz w:val="20"/>
          <w:szCs w:val="20"/>
        </w:rPr>
        <w:t>at</w:t>
      </w:r>
      <w:r w:rsidRPr="00233427">
        <w:rPr>
          <w:rFonts w:ascii="Arial" w:eastAsia="Arial" w:hAnsi="Arial" w:cs="Arial"/>
          <w:i/>
          <w:sz w:val="20"/>
          <w:szCs w:val="20"/>
        </w:rPr>
        <w:t>ire a lichidit</w:t>
      </w:r>
      <w:r w:rsidR="00516A5C">
        <w:rPr>
          <w:rFonts w:ascii="Arial" w:eastAsia="Arial" w:hAnsi="Arial" w:cs="Arial"/>
          <w:i/>
          <w:sz w:val="20"/>
          <w:szCs w:val="20"/>
        </w:rPr>
        <w:t>at</w:t>
      </w:r>
      <w:r w:rsidRPr="00233427">
        <w:rPr>
          <w:rFonts w:ascii="Arial" w:eastAsia="Arial" w:hAnsi="Arial" w:cs="Arial"/>
          <w:i/>
          <w:sz w:val="20"/>
          <w:szCs w:val="20"/>
        </w:rPr>
        <w:t>ii curente, prin sc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>derea lichidit</w:t>
      </w:r>
      <w:r w:rsidR="00516A5C">
        <w:rPr>
          <w:rFonts w:ascii="Arial" w:eastAsia="Arial" w:hAnsi="Arial" w:cs="Arial"/>
          <w:i/>
          <w:sz w:val="20"/>
          <w:szCs w:val="20"/>
        </w:rPr>
        <w:t>at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ii numerar </w:t>
      </w:r>
      <w:r w:rsidR="00516A5C">
        <w:rPr>
          <w:rFonts w:ascii="Arial" w:eastAsia="Arial" w:hAnsi="Arial" w:cs="Arial"/>
          <w:i/>
          <w:sz w:val="20"/>
          <w:szCs w:val="20"/>
        </w:rPr>
        <w:t>s</w:t>
      </w:r>
      <w:r w:rsidRPr="00233427">
        <w:rPr>
          <w:rFonts w:ascii="Arial" w:eastAsia="Arial" w:hAnsi="Arial" w:cs="Arial"/>
          <w:i/>
          <w:sz w:val="20"/>
          <w:szCs w:val="20"/>
        </w:rPr>
        <w:t>i a celei imediate, putem deduce c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 firmele din acest sector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ncaseaz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 mai greu crean</w:t>
      </w:r>
      <w:r w:rsidR="00516A5C">
        <w:rPr>
          <w:rFonts w:ascii="Arial" w:eastAsia="Arial" w:hAnsi="Arial" w:cs="Arial"/>
          <w:i/>
          <w:sz w:val="20"/>
          <w:szCs w:val="20"/>
        </w:rPr>
        <w:t>t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ele, aspect confirmat </w:t>
      </w:r>
      <w:r w:rsidR="00516A5C">
        <w:rPr>
          <w:rFonts w:ascii="Arial" w:eastAsia="Arial" w:hAnsi="Arial" w:cs="Arial"/>
          <w:i/>
          <w:sz w:val="20"/>
          <w:szCs w:val="20"/>
        </w:rPr>
        <w:t>s</w:t>
      </w:r>
      <w:r w:rsidRPr="00233427">
        <w:rPr>
          <w:rFonts w:ascii="Arial" w:eastAsia="Arial" w:hAnsi="Arial" w:cs="Arial"/>
          <w:i/>
          <w:sz w:val="20"/>
          <w:szCs w:val="20"/>
        </w:rPr>
        <w:t>i de cre</w:t>
      </w:r>
      <w:r w:rsidR="00516A5C">
        <w:rPr>
          <w:rFonts w:ascii="Arial" w:eastAsia="Arial" w:hAnsi="Arial" w:cs="Arial"/>
          <w:i/>
          <w:sz w:val="20"/>
          <w:szCs w:val="20"/>
        </w:rPr>
        <w:t>s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terea zilelor de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ncasare. Pentru sectorul Comer</w:t>
      </w:r>
      <w:r w:rsidR="00516A5C">
        <w:rPr>
          <w:rFonts w:ascii="Arial" w:eastAsia="Arial" w:hAnsi="Arial" w:cs="Arial"/>
          <w:i/>
          <w:sz w:val="20"/>
          <w:szCs w:val="20"/>
        </w:rPr>
        <w:t>t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 cu ridicata al produselor farmaceutice se remarc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>, din punct de vedere al comportamentului de plat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>, sc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>derea num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rului de companii care au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nregistrat datorii la Bugetul de Stat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n ultimii doi – trei ani (ca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n aproape toate sectoarele), dar men</w:t>
      </w:r>
      <w:r w:rsidR="00516A5C">
        <w:rPr>
          <w:rFonts w:ascii="Arial" w:eastAsia="Arial" w:hAnsi="Arial" w:cs="Arial"/>
          <w:i/>
          <w:sz w:val="20"/>
          <w:szCs w:val="20"/>
        </w:rPr>
        <w:t>t</w:t>
      </w:r>
      <w:r w:rsidRPr="00233427">
        <w:rPr>
          <w:rFonts w:ascii="Arial" w:eastAsia="Arial" w:hAnsi="Arial" w:cs="Arial"/>
          <w:i/>
          <w:sz w:val="20"/>
          <w:szCs w:val="20"/>
        </w:rPr>
        <w:t>inerea unei valori ridicate a sumelor datorate. Acest fapt indic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 men</w:t>
      </w:r>
      <w:r w:rsidR="00516A5C">
        <w:rPr>
          <w:rFonts w:ascii="Arial" w:eastAsia="Arial" w:hAnsi="Arial" w:cs="Arial"/>
          <w:i/>
          <w:sz w:val="20"/>
          <w:szCs w:val="20"/>
        </w:rPr>
        <w:t>t</w:t>
      </w:r>
      <w:r w:rsidRPr="00233427">
        <w:rPr>
          <w:rFonts w:ascii="Arial" w:eastAsia="Arial" w:hAnsi="Arial" w:cs="Arial"/>
          <w:i/>
          <w:sz w:val="20"/>
          <w:szCs w:val="20"/>
        </w:rPr>
        <w:t>inerea calibrului mare al companiilor care sunt publicate de c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tre ANAF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n listele cu obliga</w:t>
      </w:r>
      <w:r w:rsidR="00516A5C">
        <w:rPr>
          <w:rFonts w:ascii="Arial" w:eastAsia="Arial" w:hAnsi="Arial" w:cs="Arial"/>
          <w:i/>
          <w:sz w:val="20"/>
          <w:szCs w:val="20"/>
        </w:rPr>
        <w:t>t</w:t>
      </w:r>
      <w:r w:rsidRPr="00233427">
        <w:rPr>
          <w:rFonts w:ascii="Arial" w:eastAsia="Arial" w:hAnsi="Arial" w:cs="Arial"/>
          <w:i/>
          <w:sz w:val="20"/>
          <w:szCs w:val="20"/>
        </w:rPr>
        <w:t>iile restante. Totodat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>, a sc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>zut  num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rul companiilor cu cifra de afaceri &gt; 1 mil EUR care au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nregistrat incidente in ultima perioada (2 trimestre).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n ceea ce prive</w:t>
      </w:r>
      <w:r w:rsidR="00516A5C">
        <w:rPr>
          <w:rFonts w:ascii="Arial" w:eastAsia="Arial" w:hAnsi="Arial" w:cs="Arial"/>
          <w:i/>
          <w:sz w:val="20"/>
          <w:szCs w:val="20"/>
        </w:rPr>
        <w:t>s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te dosarele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n instan</w:t>
      </w:r>
      <w:r w:rsidR="00516A5C">
        <w:rPr>
          <w:rFonts w:ascii="Arial" w:eastAsia="Arial" w:hAnsi="Arial" w:cs="Arial"/>
          <w:i/>
          <w:sz w:val="20"/>
          <w:szCs w:val="20"/>
        </w:rPr>
        <w:t>ta</w:t>
      </w:r>
      <w:r w:rsidRPr="00233427">
        <w:rPr>
          <w:rFonts w:ascii="Arial" w:eastAsia="Arial" w:hAnsi="Arial" w:cs="Arial"/>
          <w:i/>
          <w:sz w:val="20"/>
          <w:szCs w:val="20"/>
        </w:rPr>
        <w:t>, anul 2019 ar putea reprezenta un minim pentru acest tip de ac</w:t>
      </w:r>
      <w:r w:rsidR="00516A5C">
        <w:rPr>
          <w:rFonts w:ascii="Arial" w:eastAsia="Arial" w:hAnsi="Arial" w:cs="Arial"/>
          <w:i/>
          <w:sz w:val="20"/>
          <w:szCs w:val="20"/>
        </w:rPr>
        <w:t>t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iuni, </w:t>
      </w:r>
      <w:r w:rsidR="00516A5C">
        <w:rPr>
          <w:rFonts w:ascii="Arial" w:eastAsia="Arial" w:hAnsi="Arial" w:cs="Arial"/>
          <w:i/>
          <w:sz w:val="20"/>
          <w:szCs w:val="20"/>
        </w:rPr>
        <w:t>i</w:t>
      </w:r>
      <w:r w:rsidRPr="00233427">
        <w:rPr>
          <w:rFonts w:ascii="Arial" w:eastAsia="Arial" w:hAnsi="Arial" w:cs="Arial"/>
          <w:i/>
          <w:sz w:val="20"/>
          <w:szCs w:val="20"/>
        </w:rPr>
        <w:t>n acest sector, dac</w:t>
      </w:r>
      <w:r w:rsidR="00516A5C">
        <w:rPr>
          <w:rFonts w:ascii="Arial" w:eastAsia="Arial" w:hAnsi="Arial" w:cs="Arial"/>
          <w:i/>
          <w:sz w:val="20"/>
          <w:szCs w:val="20"/>
        </w:rPr>
        <w:t>a</w:t>
      </w:r>
      <w:r w:rsidRPr="00233427">
        <w:rPr>
          <w:rFonts w:ascii="Arial" w:eastAsia="Arial" w:hAnsi="Arial" w:cs="Arial"/>
          <w:i/>
          <w:sz w:val="20"/>
          <w:szCs w:val="20"/>
        </w:rPr>
        <w:t xml:space="preserve"> se men</w:t>
      </w:r>
      <w:r w:rsidR="00516A5C">
        <w:rPr>
          <w:rFonts w:ascii="Arial" w:eastAsia="Arial" w:hAnsi="Arial" w:cs="Arial"/>
          <w:i/>
          <w:sz w:val="20"/>
          <w:szCs w:val="20"/>
        </w:rPr>
        <w:t>t</w:t>
      </w:r>
      <w:r w:rsidRPr="00233427">
        <w:rPr>
          <w:rFonts w:ascii="Arial" w:eastAsia="Arial" w:hAnsi="Arial" w:cs="Arial"/>
          <w:i/>
          <w:sz w:val="20"/>
          <w:szCs w:val="20"/>
        </w:rPr>
        <w:t>ine trendul din primele 6 luni ale anului</w:t>
      </w:r>
      <w:r w:rsidRPr="0068161C">
        <w:rPr>
          <w:rFonts w:ascii="Arial" w:eastAsia="Arial" w:hAnsi="Arial" w:cs="Arial"/>
          <w:sz w:val="20"/>
          <w:szCs w:val="20"/>
        </w:rPr>
        <w:t>”, a declarat Nico</w:t>
      </w:r>
      <w:r w:rsidR="00233427">
        <w:rPr>
          <w:rFonts w:ascii="Arial" w:eastAsia="Arial" w:hAnsi="Arial" w:cs="Arial"/>
          <w:sz w:val="20"/>
          <w:szCs w:val="20"/>
        </w:rPr>
        <w:t>l</w:t>
      </w:r>
      <w:r w:rsidRPr="0068161C">
        <w:rPr>
          <w:rFonts w:ascii="Arial" w:eastAsia="Arial" w:hAnsi="Arial" w:cs="Arial"/>
          <w:sz w:val="20"/>
          <w:szCs w:val="20"/>
        </w:rPr>
        <w:t xml:space="preserve">eta </w:t>
      </w:r>
      <w:r>
        <w:rPr>
          <w:rFonts w:ascii="Arial" w:eastAsia="Arial" w:hAnsi="Arial" w:cs="Arial"/>
          <w:sz w:val="20"/>
          <w:szCs w:val="20"/>
        </w:rPr>
        <w:t>Marin</w:t>
      </w:r>
      <w:r w:rsidRPr="0068161C">
        <w:rPr>
          <w:rFonts w:ascii="Arial" w:eastAsia="Arial" w:hAnsi="Arial" w:cs="Arial"/>
          <w:sz w:val="20"/>
          <w:szCs w:val="20"/>
        </w:rPr>
        <w:t xml:space="preserve">, </w:t>
      </w:r>
      <w:r w:rsidR="00E1119D">
        <w:rPr>
          <w:rFonts w:ascii="Arial" w:eastAsia="Arial" w:hAnsi="Arial" w:cs="Arial"/>
          <w:sz w:val="20"/>
          <w:szCs w:val="20"/>
        </w:rPr>
        <w:t>A</w:t>
      </w:r>
      <w:r w:rsidRPr="0068161C">
        <w:rPr>
          <w:rFonts w:ascii="Arial" w:eastAsia="Arial" w:hAnsi="Arial" w:cs="Arial"/>
          <w:sz w:val="20"/>
          <w:szCs w:val="20"/>
        </w:rPr>
        <w:t xml:space="preserve">nalist </w:t>
      </w:r>
      <w:r w:rsidR="00E1119D">
        <w:rPr>
          <w:rFonts w:ascii="Arial" w:eastAsia="Arial" w:hAnsi="Arial" w:cs="Arial"/>
          <w:sz w:val="20"/>
          <w:szCs w:val="20"/>
        </w:rPr>
        <w:t>E</w:t>
      </w:r>
      <w:r w:rsidRPr="0068161C">
        <w:rPr>
          <w:rFonts w:ascii="Arial" w:eastAsia="Arial" w:hAnsi="Arial" w:cs="Arial"/>
          <w:sz w:val="20"/>
          <w:szCs w:val="20"/>
        </w:rPr>
        <w:t>conomic, Coface</w:t>
      </w:r>
      <w:r>
        <w:rPr>
          <w:rFonts w:ascii="Arial" w:eastAsia="Arial" w:hAnsi="Arial" w:cs="Arial"/>
          <w:sz w:val="20"/>
          <w:szCs w:val="20"/>
        </w:rPr>
        <w:t xml:space="preserve"> Rom</w:t>
      </w:r>
      <w:r w:rsidR="00516A5C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nia. </w:t>
      </w:r>
    </w:p>
    <w:p w:rsidR="00E1119D" w:rsidRPr="008C0155" w:rsidRDefault="00E1119D" w:rsidP="0094538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Rom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nii aloc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achizi</w:t>
      </w:r>
      <w:r w:rsidR="00516A5C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ion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rii de produse farmaceutice sub 10% din cheltuielile medii lunare ale gospod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riei. Astfel,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nsumat, ace</w:t>
      </w:r>
      <w:r w:rsidR="00516A5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tia au cheltuit aproximativ 77 RON lunar pe parcursul anului 2018 pe produse medicale, aparate si medicamente. Aceast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categorie de cheltuieli a fost dep</w:t>
      </w:r>
      <w:r w:rsidR="00516A5C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>it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de alte trei tipuri de m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rfuri nealimentare: tutun, carburant </w:t>
      </w:r>
      <w:r w:rsidR="00516A5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i </w:t>
      </w:r>
      <w:r w:rsidR="00516A5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mbr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c</w:t>
      </w:r>
      <w:r w:rsidR="00516A5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minte. </w:t>
      </w:r>
    </w:p>
    <w:p w:rsidR="002A511A" w:rsidRPr="00E1119D" w:rsidRDefault="002A511A" w:rsidP="0094538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E1119D">
        <w:rPr>
          <w:rFonts w:ascii="Arial" w:hAnsi="Arial" w:cs="Arial"/>
          <w:sz w:val="20"/>
        </w:rPr>
        <w:t xml:space="preserve">Din totalul de 1.662 </w:t>
      </w:r>
      <w:r w:rsidR="00233427">
        <w:rPr>
          <w:rFonts w:ascii="Arial" w:hAnsi="Arial" w:cs="Arial"/>
          <w:sz w:val="20"/>
        </w:rPr>
        <w:t xml:space="preserve">companii active </w:t>
      </w:r>
      <w:r w:rsidR="00516A5C">
        <w:rPr>
          <w:rFonts w:ascii="Arial" w:hAnsi="Arial" w:cs="Arial"/>
          <w:sz w:val="20"/>
        </w:rPr>
        <w:t>i</w:t>
      </w:r>
      <w:r w:rsidRPr="00E1119D">
        <w:rPr>
          <w:rFonts w:ascii="Arial" w:hAnsi="Arial" w:cs="Arial"/>
          <w:sz w:val="20"/>
        </w:rPr>
        <w:t>n anul 2017, Coface a analizat 212 de companii (~ 12,8%), dar care au o pondere a cifrei de afaceri de 79</w:t>
      </w:r>
      <w:r w:rsidR="00233427">
        <w:rPr>
          <w:rFonts w:ascii="Arial" w:hAnsi="Arial" w:cs="Arial"/>
          <w:sz w:val="20"/>
        </w:rPr>
        <w:t xml:space="preserve">% </w:t>
      </w:r>
      <w:r w:rsidR="00516A5C">
        <w:rPr>
          <w:rFonts w:ascii="Arial" w:hAnsi="Arial" w:cs="Arial"/>
          <w:sz w:val="20"/>
        </w:rPr>
        <w:t>i</w:t>
      </w:r>
      <w:r w:rsidR="00233427">
        <w:rPr>
          <w:rFonts w:ascii="Arial" w:hAnsi="Arial" w:cs="Arial"/>
          <w:sz w:val="20"/>
        </w:rPr>
        <w:t>n cifra de afaceri consolidat</w:t>
      </w:r>
      <w:r w:rsidR="00516A5C">
        <w:rPr>
          <w:rFonts w:ascii="Arial" w:hAnsi="Arial" w:cs="Arial"/>
          <w:sz w:val="20"/>
        </w:rPr>
        <w:t>a</w:t>
      </w:r>
      <w:r w:rsidR="00233427">
        <w:rPr>
          <w:rFonts w:ascii="Arial" w:hAnsi="Arial" w:cs="Arial"/>
          <w:sz w:val="20"/>
        </w:rPr>
        <w:t xml:space="preserve"> la nivel de sector. </w:t>
      </w:r>
      <w:r w:rsidR="00516A5C">
        <w:rPr>
          <w:rFonts w:ascii="Arial" w:hAnsi="Arial" w:cs="Arial"/>
          <w:sz w:val="20"/>
        </w:rPr>
        <w:t>I</w:t>
      </w:r>
      <w:r w:rsidRPr="00E1119D">
        <w:rPr>
          <w:rFonts w:ascii="Arial" w:hAnsi="Arial" w:cs="Arial"/>
          <w:sz w:val="20"/>
        </w:rPr>
        <w:t xml:space="preserve">n acest context, cele mai multe companii (48%) sunt </w:t>
      </w:r>
      <w:r w:rsidR="00516A5C">
        <w:rPr>
          <w:rFonts w:ascii="Arial" w:hAnsi="Arial" w:cs="Arial"/>
          <w:sz w:val="20"/>
        </w:rPr>
        <w:t>i</w:t>
      </w:r>
      <w:r w:rsidRPr="00E1119D">
        <w:rPr>
          <w:rFonts w:ascii="Arial" w:hAnsi="Arial" w:cs="Arial"/>
          <w:sz w:val="20"/>
        </w:rPr>
        <w:t>ncadrate de Coface drept com</w:t>
      </w:r>
      <w:r w:rsidR="00233427">
        <w:rPr>
          <w:rFonts w:ascii="Arial" w:hAnsi="Arial" w:cs="Arial"/>
          <w:sz w:val="20"/>
        </w:rPr>
        <w:t>panii cu un risc mediu-mare, av</w:t>
      </w:r>
      <w:r w:rsidR="00516A5C">
        <w:rPr>
          <w:rFonts w:ascii="Arial" w:hAnsi="Arial" w:cs="Arial"/>
          <w:sz w:val="20"/>
        </w:rPr>
        <w:t>a</w:t>
      </w:r>
      <w:r w:rsidRPr="00E1119D">
        <w:rPr>
          <w:rFonts w:ascii="Arial" w:hAnsi="Arial" w:cs="Arial"/>
          <w:sz w:val="20"/>
        </w:rPr>
        <w:t xml:space="preserve">nd ratingurile 4 sau 5. La extreme se </w:t>
      </w:r>
      <w:r w:rsidR="00233427">
        <w:rPr>
          <w:rFonts w:ascii="Arial" w:hAnsi="Arial" w:cs="Arial"/>
          <w:sz w:val="20"/>
        </w:rPr>
        <w:t>afl</w:t>
      </w:r>
      <w:r w:rsidR="00516A5C">
        <w:rPr>
          <w:rFonts w:ascii="Arial" w:hAnsi="Arial" w:cs="Arial"/>
          <w:sz w:val="20"/>
        </w:rPr>
        <w:t>a</w:t>
      </w:r>
      <w:r w:rsidR="00233427">
        <w:rPr>
          <w:rFonts w:ascii="Arial" w:hAnsi="Arial" w:cs="Arial"/>
          <w:sz w:val="20"/>
        </w:rPr>
        <w:t>,</w:t>
      </w:r>
      <w:r w:rsidRPr="00E1119D">
        <w:rPr>
          <w:rFonts w:ascii="Arial" w:hAnsi="Arial" w:cs="Arial"/>
          <w:sz w:val="20"/>
        </w:rPr>
        <w:t xml:space="preserve"> cu procentaje de 9%</w:t>
      </w:r>
      <w:r w:rsidR="00233427">
        <w:rPr>
          <w:rFonts w:ascii="Arial" w:hAnsi="Arial" w:cs="Arial"/>
          <w:sz w:val="20"/>
        </w:rPr>
        <w:t>,</w:t>
      </w:r>
      <w:r w:rsidRPr="00E1119D">
        <w:rPr>
          <w:rFonts w:ascii="Arial" w:hAnsi="Arial" w:cs="Arial"/>
          <w:sz w:val="20"/>
        </w:rPr>
        <w:t xml:space="preserve"> companii care au un risc mare de insolven</w:t>
      </w:r>
      <w:r w:rsidR="00516A5C">
        <w:rPr>
          <w:rFonts w:ascii="Arial" w:hAnsi="Arial" w:cs="Arial"/>
          <w:sz w:val="20"/>
        </w:rPr>
        <w:t>ta</w:t>
      </w:r>
      <w:r w:rsidRPr="00E1119D">
        <w:rPr>
          <w:rFonts w:ascii="Arial" w:hAnsi="Arial" w:cs="Arial"/>
          <w:sz w:val="20"/>
        </w:rPr>
        <w:t xml:space="preserve"> (ratinguri 1-3), respectiv 39% companii cu risc sc</w:t>
      </w:r>
      <w:r w:rsidR="00516A5C">
        <w:rPr>
          <w:rFonts w:ascii="Arial" w:hAnsi="Arial" w:cs="Arial"/>
          <w:sz w:val="20"/>
        </w:rPr>
        <w:t>a</w:t>
      </w:r>
      <w:r w:rsidRPr="00E1119D">
        <w:rPr>
          <w:rFonts w:ascii="Arial" w:hAnsi="Arial" w:cs="Arial"/>
          <w:sz w:val="20"/>
        </w:rPr>
        <w:t xml:space="preserve">zut (ratinguri 6-10). </w:t>
      </w:r>
    </w:p>
    <w:p w:rsidR="002A29C4" w:rsidRPr="0064738E" w:rsidRDefault="002A29C4" w:rsidP="0094538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Afla</w:t>
      </w:r>
      <w:r w:rsidR="00516A5C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 mai multe detalii despre </w:t>
      </w:r>
      <w:r w:rsidR="00233427">
        <w:rPr>
          <w:rFonts w:ascii="Arial" w:hAnsi="Arial" w:cs="Arial"/>
          <w:sz w:val="20"/>
        </w:rPr>
        <w:t>evolu</w:t>
      </w:r>
      <w:r w:rsidR="00516A5C">
        <w:rPr>
          <w:rFonts w:ascii="Arial" w:hAnsi="Arial" w:cs="Arial"/>
          <w:sz w:val="20"/>
        </w:rPr>
        <w:t>t</w:t>
      </w:r>
      <w:r w:rsidR="00233427">
        <w:rPr>
          <w:rFonts w:ascii="Arial" w:hAnsi="Arial" w:cs="Arial"/>
          <w:sz w:val="20"/>
        </w:rPr>
        <w:t>ia acestui sector de activitate</w:t>
      </w:r>
      <w:r w:rsidR="00204C9F">
        <w:rPr>
          <w:rFonts w:ascii="Arial" w:hAnsi="Arial" w:cs="Arial"/>
          <w:sz w:val="20"/>
        </w:rPr>
        <w:t xml:space="preserve"> din </w:t>
      </w:r>
      <w:r w:rsidR="00204C9F" w:rsidRPr="00204C9F">
        <w:rPr>
          <w:rFonts w:ascii="Arial" w:hAnsi="Arial" w:cs="Arial"/>
          <w:b/>
          <w:sz w:val="20"/>
        </w:rPr>
        <w:t>Studiul Coface</w:t>
      </w:r>
      <w:r w:rsidR="00233427">
        <w:rPr>
          <w:rFonts w:ascii="Arial" w:hAnsi="Arial" w:cs="Arial"/>
          <w:b/>
          <w:sz w:val="20"/>
        </w:rPr>
        <w:t xml:space="preserve"> privind Comer</w:t>
      </w:r>
      <w:r w:rsidR="00516A5C">
        <w:rPr>
          <w:rFonts w:ascii="Arial" w:hAnsi="Arial" w:cs="Arial"/>
          <w:b/>
          <w:sz w:val="20"/>
        </w:rPr>
        <w:t>t</w:t>
      </w:r>
      <w:r w:rsidR="00233427">
        <w:rPr>
          <w:rFonts w:ascii="Arial" w:hAnsi="Arial" w:cs="Arial"/>
          <w:b/>
          <w:sz w:val="20"/>
        </w:rPr>
        <w:t>ul cu ridicata al produselor farmaceutice</w:t>
      </w:r>
      <w:r w:rsidR="00204C9F">
        <w:rPr>
          <w:rFonts w:ascii="Arial" w:hAnsi="Arial" w:cs="Arial"/>
          <w:sz w:val="20"/>
        </w:rPr>
        <w:t>, ata</w:t>
      </w:r>
      <w:r w:rsidR="00516A5C">
        <w:rPr>
          <w:rFonts w:ascii="Arial" w:hAnsi="Arial" w:cs="Arial"/>
          <w:sz w:val="20"/>
        </w:rPr>
        <w:t>s</w:t>
      </w:r>
      <w:r w:rsidR="00204C9F">
        <w:rPr>
          <w:rFonts w:ascii="Arial" w:hAnsi="Arial" w:cs="Arial"/>
          <w:sz w:val="20"/>
        </w:rPr>
        <w:t xml:space="preserve">at. </w:t>
      </w:r>
    </w:p>
    <w:p w:rsidR="002A31DC" w:rsidRPr="0064738E" w:rsidRDefault="002A31DC" w:rsidP="00945385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D7428F" w:rsidRPr="0064738E" w:rsidRDefault="003D1B68" w:rsidP="00945385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64738E">
        <w:rPr>
          <w:rFonts w:ascii="Arial" w:hAnsi="Arial" w:cs="Arial"/>
          <w:b/>
          <w:sz w:val="18"/>
          <w:szCs w:val="18"/>
        </w:rPr>
        <w:t>CONTACT MEDIA</w:t>
      </w:r>
    </w:p>
    <w:p w:rsidR="003D1B68" w:rsidRPr="0064738E" w:rsidRDefault="00A45B05" w:rsidP="003A4DA2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64738E">
        <w:rPr>
          <w:rFonts w:ascii="Arial" w:hAnsi="Arial" w:cs="Arial"/>
          <w:sz w:val="18"/>
          <w:szCs w:val="18"/>
        </w:rPr>
        <w:t xml:space="preserve">Andreea Bucur </w:t>
      </w:r>
      <w:r w:rsidR="003D1B68" w:rsidRPr="0064738E">
        <w:rPr>
          <w:rFonts w:ascii="Arial" w:hAnsi="Arial" w:cs="Arial"/>
          <w:sz w:val="18"/>
          <w:szCs w:val="18"/>
        </w:rPr>
        <w:t>-  T. 0374 670 7</w:t>
      </w:r>
      <w:r w:rsidRPr="0064738E">
        <w:rPr>
          <w:rFonts w:ascii="Arial" w:hAnsi="Arial" w:cs="Arial"/>
          <w:sz w:val="18"/>
          <w:szCs w:val="18"/>
        </w:rPr>
        <w:t>20</w:t>
      </w:r>
      <w:r w:rsidR="003D1B68" w:rsidRPr="0064738E">
        <w:rPr>
          <w:rFonts w:ascii="Arial" w:hAnsi="Arial" w:cs="Arial"/>
          <w:sz w:val="18"/>
          <w:szCs w:val="18"/>
        </w:rPr>
        <w:t xml:space="preserve"> </w:t>
      </w:r>
      <w:r w:rsidRPr="0064738E">
        <w:rPr>
          <w:rFonts w:ascii="Arial" w:hAnsi="Arial" w:cs="Arial"/>
          <w:sz w:val="18"/>
          <w:szCs w:val="18"/>
        </w:rPr>
        <w:t>–</w:t>
      </w:r>
      <w:r w:rsidR="003D1B68" w:rsidRPr="0064738E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64738E">
          <w:rPr>
            <w:rStyle w:val="Hyperlink"/>
            <w:rFonts w:ascii="Arial" w:hAnsi="Arial" w:cs="Arial"/>
            <w:sz w:val="18"/>
            <w:szCs w:val="18"/>
          </w:rPr>
          <w:t>andreea.bucur@coface.com</w:t>
        </w:r>
      </w:hyperlink>
    </w:p>
    <w:tbl>
      <w:tblPr>
        <w:tblpPr w:leftFromText="141" w:rightFromText="141" w:bottomFromText="200" w:vertAnchor="text" w:horzAnchor="margin" w:tblpX="-180" w:tblpY="58"/>
        <w:tblW w:w="92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70"/>
      </w:tblGrid>
      <w:tr w:rsidR="00F36C29" w:rsidRPr="0064738E" w:rsidTr="00F36C29">
        <w:trPr>
          <w:trHeight w:val="2417"/>
        </w:trPr>
        <w:tc>
          <w:tcPr>
            <w:tcW w:w="9270" w:type="dxa"/>
            <w:shd w:val="clear" w:color="auto" w:fill="E9EDF4"/>
          </w:tcPr>
          <w:p w:rsidR="00F36C29" w:rsidRPr="0064738E" w:rsidRDefault="00F36C29" w:rsidP="003A4DA2">
            <w:pPr>
              <w:spacing w:before="60" w:after="120" w:line="240" w:lineRule="auto"/>
              <w:ind w:left="142" w:right="113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4738E">
              <w:rPr>
                <w:rFonts w:ascii="Arial" w:hAnsi="Arial" w:cs="Arial"/>
                <w:b/>
                <w:sz w:val="16"/>
                <w:szCs w:val="16"/>
                <w:lang w:val="en-US"/>
              </w:rPr>
              <w:t>Coface</w:t>
            </w:r>
            <w:proofErr w:type="spellEnd"/>
            <w:r w:rsidRPr="0064738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for trade - </w:t>
            </w:r>
            <w:proofErr w:type="spellStart"/>
            <w:r w:rsidRPr="0064738E">
              <w:rPr>
                <w:rFonts w:ascii="Arial" w:hAnsi="Arial" w:cs="Arial"/>
                <w:b/>
                <w:sz w:val="16"/>
                <w:szCs w:val="16"/>
                <w:lang w:val="en-US"/>
              </w:rPr>
              <w:t>Cre</w:t>
            </w:r>
            <w:r w:rsidR="00516A5C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64738E">
              <w:rPr>
                <w:rFonts w:ascii="Arial" w:hAnsi="Arial" w:cs="Arial"/>
                <w:b/>
                <w:sz w:val="16"/>
                <w:szCs w:val="16"/>
                <w:lang w:val="en-US"/>
              </w:rPr>
              <w:t>tem</w:t>
            </w:r>
            <w:proofErr w:type="spellEnd"/>
            <w:r w:rsidRPr="0064738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64738E">
              <w:rPr>
                <w:rFonts w:ascii="Arial" w:hAnsi="Arial" w:cs="Arial"/>
                <w:b/>
                <w:sz w:val="16"/>
                <w:szCs w:val="16"/>
                <w:lang w:val="en-US"/>
              </w:rPr>
              <w:t>afaceri</w:t>
            </w:r>
            <w:proofErr w:type="spellEnd"/>
            <w:r w:rsidRPr="0064738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16A5C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64738E">
              <w:rPr>
                <w:rFonts w:ascii="Arial" w:hAnsi="Arial" w:cs="Arial"/>
                <w:b/>
                <w:sz w:val="16"/>
                <w:szCs w:val="16"/>
                <w:lang w:val="en-US"/>
              </w:rPr>
              <w:t>mpreun</w:t>
            </w:r>
            <w:r w:rsidR="00516A5C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proofErr w:type="spellEnd"/>
          </w:p>
          <w:p w:rsidR="00F36C29" w:rsidRPr="0064738E" w:rsidRDefault="00F36C29" w:rsidP="003A4DA2">
            <w:pPr>
              <w:spacing w:before="60" w:after="120" w:line="240" w:lineRule="auto"/>
              <w:ind w:left="142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38E">
              <w:rPr>
                <w:rFonts w:ascii="Arial" w:hAnsi="Arial" w:cs="Arial"/>
                <w:sz w:val="16"/>
                <w:szCs w:val="16"/>
              </w:rPr>
              <w:t>70 de ani de experien</w:t>
            </w:r>
            <w:r w:rsidR="00516A5C">
              <w:rPr>
                <w:rFonts w:ascii="Arial" w:hAnsi="Arial" w:cs="Arial"/>
                <w:sz w:val="16"/>
                <w:szCs w:val="16"/>
              </w:rPr>
              <w:t>ta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A5C">
              <w:rPr>
                <w:rFonts w:ascii="Arial" w:hAnsi="Arial" w:cs="Arial"/>
                <w:sz w:val="16"/>
                <w:szCs w:val="16"/>
              </w:rPr>
              <w:t>s</w:t>
            </w:r>
            <w:r w:rsidRPr="0064738E">
              <w:rPr>
                <w:rFonts w:ascii="Arial" w:hAnsi="Arial" w:cs="Arial"/>
                <w:sz w:val="16"/>
                <w:szCs w:val="16"/>
              </w:rPr>
              <w:t>i cea mai rafinat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re</w:t>
            </w:r>
            <w:r w:rsidR="00516A5C">
              <w:rPr>
                <w:rFonts w:ascii="Arial" w:hAnsi="Arial" w:cs="Arial"/>
                <w:sz w:val="16"/>
                <w:szCs w:val="16"/>
              </w:rPr>
              <w:t>t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ea au transformat Coface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>ntr-o referin</w:t>
            </w:r>
            <w:r w:rsidR="00516A5C">
              <w:rPr>
                <w:rFonts w:ascii="Arial" w:hAnsi="Arial" w:cs="Arial"/>
                <w:sz w:val="16"/>
                <w:szCs w:val="16"/>
              </w:rPr>
              <w:t>ta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>n domeniul asigur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>rilor de credit, a gestion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rii riscurilor </w:t>
            </w:r>
            <w:r w:rsidR="00516A5C">
              <w:rPr>
                <w:rFonts w:ascii="Arial" w:hAnsi="Arial" w:cs="Arial"/>
                <w:sz w:val="16"/>
                <w:szCs w:val="16"/>
              </w:rPr>
              <w:t>s</w:t>
            </w:r>
            <w:r w:rsidRPr="0064738E">
              <w:rPr>
                <w:rFonts w:ascii="Arial" w:hAnsi="Arial" w:cs="Arial"/>
                <w:sz w:val="16"/>
                <w:szCs w:val="16"/>
              </w:rPr>
              <w:t>i a economiei globale. Cu ambi</w:t>
            </w:r>
            <w:r w:rsidR="00516A5C">
              <w:rPr>
                <w:rFonts w:ascii="Arial" w:hAnsi="Arial" w:cs="Arial"/>
                <w:sz w:val="16"/>
                <w:szCs w:val="16"/>
              </w:rPr>
              <w:t>t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ia de a transforma Coface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n cel mai agil partener mondial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>n domeniul asigur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>rilor de credite comerciale, exper</w:t>
            </w:r>
            <w:r w:rsidR="00516A5C">
              <w:rPr>
                <w:rFonts w:ascii="Arial" w:hAnsi="Arial" w:cs="Arial"/>
                <w:sz w:val="16"/>
                <w:szCs w:val="16"/>
              </w:rPr>
              <w:t>t</w:t>
            </w:r>
            <w:r w:rsidRPr="0064738E">
              <w:rPr>
                <w:rFonts w:ascii="Arial" w:hAnsi="Arial" w:cs="Arial"/>
                <w:sz w:val="16"/>
                <w:szCs w:val="16"/>
              </w:rPr>
              <w:t>ii lucreaz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>n centrul economiei mondiale, sprijinind 50.000 de clien</w:t>
            </w:r>
            <w:r w:rsidR="00516A5C">
              <w:rPr>
                <w:rFonts w:ascii="Arial" w:hAnsi="Arial" w:cs="Arial"/>
                <w:sz w:val="16"/>
                <w:szCs w:val="16"/>
              </w:rPr>
              <w:t>t</w:t>
            </w:r>
            <w:r w:rsidRPr="0064738E">
              <w:rPr>
                <w:rFonts w:ascii="Arial" w:hAnsi="Arial" w:cs="Arial"/>
                <w:sz w:val="16"/>
                <w:szCs w:val="16"/>
              </w:rPr>
              <w:t>i s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construiasc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afaceri de succes,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>n cre</w:t>
            </w:r>
            <w:r w:rsidR="00516A5C">
              <w:rPr>
                <w:rFonts w:ascii="Arial" w:hAnsi="Arial" w:cs="Arial"/>
                <w:sz w:val="16"/>
                <w:szCs w:val="16"/>
              </w:rPr>
              <w:t>s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tere </w:t>
            </w:r>
            <w:r w:rsidR="00516A5C">
              <w:rPr>
                <w:rFonts w:ascii="Arial" w:hAnsi="Arial" w:cs="Arial"/>
                <w:sz w:val="16"/>
                <w:szCs w:val="16"/>
              </w:rPr>
              <w:t>s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i dinamice. Serviciile </w:t>
            </w:r>
            <w:r w:rsidR="00516A5C">
              <w:rPr>
                <w:rFonts w:ascii="Arial" w:hAnsi="Arial" w:cs="Arial"/>
                <w:sz w:val="16"/>
                <w:szCs w:val="16"/>
              </w:rPr>
              <w:t>s</w:t>
            </w:r>
            <w:r w:rsidRPr="0064738E">
              <w:rPr>
                <w:rFonts w:ascii="Arial" w:hAnsi="Arial" w:cs="Arial"/>
                <w:sz w:val="16"/>
                <w:szCs w:val="16"/>
              </w:rPr>
              <w:t>i solu</w:t>
            </w:r>
            <w:r w:rsidR="00516A5C">
              <w:rPr>
                <w:rFonts w:ascii="Arial" w:hAnsi="Arial" w:cs="Arial"/>
                <w:sz w:val="16"/>
                <w:szCs w:val="16"/>
              </w:rPr>
              <w:t>t</w:t>
            </w:r>
            <w:r w:rsidRPr="0064738E">
              <w:rPr>
                <w:rFonts w:ascii="Arial" w:hAnsi="Arial" w:cs="Arial"/>
                <w:sz w:val="16"/>
                <w:szCs w:val="16"/>
              </w:rPr>
              <w:t>iile Grupului protejeaz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A5C">
              <w:rPr>
                <w:rFonts w:ascii="Arial" w:hAnsi="Arial" w:cs="Arial"/>
                <w:sz w:val="16"/>
                <w:szCs w:val="16"/>
              </w:rPr>
              <w:t>s</w:t>
            </w:r>
            <w:r w:rsidRPr="0064738E">
              <w:rPr>
                <w:rFonts w:ascii="Arial" w:hAnsi="Arial" w:cs="Arial"/>
                <w:sz w:val="16"/>
                <w:szCs w:val="16"/>
              </w:rPr>
              <w:t>i ajut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companiile s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ia decizii de creditare pentru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>mbun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>t</w:t>
            </w:r>
            <w:r w:rsidR="00516A5C">
              <w:rPr>
                <w:rFonts w:ascii="Arial" w:hAnsi="Arial" w:cs="Arial"/>
                <w:sz w:val="16"/>
                <w:szCs w:val="16"/>
              </w:rPr>
              <w:t>at</w:t>
            </w:r>
            <w:r w:rsidRPr="0064738E">
              <w:rPr>
                <w:rFonts w:ascii="Arial" w:hAnsi="Arial" w:cs="Arial"/>
                <w:sz w:val="16"/>
                <w:szCs w:val="16"/>
              </w:rPr>
              <w:t>irea capacit</w:t>
            </w:r>
            <w:r w:rsidR="00516A5C">
              <w:rPr>
                <w:rFonts w:ascii="Arial" w:hAnsi="Arial" w:cs="Arial"/>
                <w:sz w:val="16"/>
                <w:szCs w:val="16"/>
              </w:rPr>
              <w:t>at</w:t>
            </w:r>
            <w:r w:rsidRPr="0064738E">
              <w:rPr>
                <w:rFonts w:ascii="Arial" w:hAnsi="Arial" w:cs="Arial"/>
                <w:sz w:val="16"/>
                <w:szCs w:val="16"/>
              </w:rPr>
              <w:t>ii de a vinde at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>t pe pie</w:t>
            </w:r>
            <w:r w:rsidR="00516A5C">
              <w:rPr>
                <w:rFonts w:ascii="Arial" w:hAnsi="Arial" w:cs="Arial"/>
                <w:sz w:val="16"/>
                <w:szCs w:val="16"/>
              </w:rPr>
              <w:t>t</w:t>
            </w:r>
            <w:r w:rsidRPr="0064738E">
              <w:rPr>
                <w:rFonts w:ascii="Arial" w:hAnsi="Arial" w:cs="Arial"/>
                <w:sz w:val="16"/>
                <w:szCs w:val="16"/>
              </w:rPr>
              <w:t>ele interne, c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="00516A5C">
              <w:rPr>
                <w:rFonts w:ascii="Arial" w:hAnsi="Arial" w:cs="Arial"/>
                <w:sz w:val="16"/>
                <w:szCs w:val="16"/>
              </w:rPr>
              <w:t>s</w:t>
            </w:r>
            <w:r w:rsidRPr="0064738E">
              <w:rPr>
                <w:rFonts w:ascii="Arial" w:hAnsi="Arial" w:cs="Arial"/>
                <w:sz w:val="16"/>
                <w:szCs w:val="16"/>
              </w:rPr>
              <w:t>i pe pie</w:t>
            </w:r>
            <w:r w:rsidR="00516A5C">
              <w:rPr>
                <w:rFonts w:ascii="Arial" w:hAnsi="Arial" w:cs="Arial"/>
                <w:sz w:val="16"/>
                <w:szCs w:val="16"/>
              </w:rPr>
              <w:t>t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ele de export.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>n 2017, Coface are aproximativ 4.100 de angaja</w:t>
            </w:r>
            <w:r w:rsidR="00516A5C">
              <w:rPr>
                <w:rFonts w:ascii="Arial" w:hAnsi="Arial" w:cs="Arial"/>
                <w:sz w:val="16"/>
                <w:szCs w:val="16"/>
              </w:rPr>
              <w:t>t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n 100 de </w:t>
            </w:r>
            <w:r w:rsidR="00516A5C">
              <w:rPr>
                <w:rFonts w:ascii="Arial" w:hAnsi="Arial" w:cs="Arial"/>
                <w:sz w:val="16"/>
                <w:szCs w:val="16"/>
              </w:rPr>
              <w:t>ta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ri </w:t>
            </w:r>
            <w:r w:rsidR="00516A5C">
              <w:rPr>
                <w:rFonts w:ascii="Arial" w:hAnsi="Arial" w:cs="Arial"/>
                <w:sz w:val="16"/>
                <w:szCs w:val="16"/>
              </w:rPr>
              <w:t>s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516A5C">
              <w:rPr>
                <w:rFonts w:ascii="Arial" w:hAnsi="Arial" w:cs="Arial"/>
                <w:sz w:val="16"/>
                <w:szCs w:val="16"/>
              </w:rPr>
              <w:t>i</w:t>
            </w:r>
            <w:r w:rsidRPr="0064738E">
              <w:rPr>
                <w:rFonts w:ascii="Arial" w:hAnsi="Arial" w:cs="Arial"/>
                <w:sz w:val="16"/>
                <w:szCs w:val="16"/>
              </w:rPr>
              <w:t>nregistrez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o cifr</w:t>
            </w:r>
            <w:r w:rsidR="00516A5C">
              <w:rPr>
                <w:rFonts w:ascii="Arial" w:hAnsi="Arial" w:cs="Arial"/>
                <w:sz w:val="16"/>
                <w:szCs w:val="16"/>
              </w:rPr>
              <w:t>a</w:t>
            </w:r>
            <w:r w:rsidRPr="0064738E">
              <w:rPr>
                <w:rFonts w:ascii="Arial" w:hAnsi="Arial" w:cs="Arial"/>
                <w:sz w:val="16"/>
                <w:szCs w:val="16"/>
              </w:rPr>
              <w:t xml:space="preserve"> de afaceri de 1,4 MLD EUR.</w:t>
            </w:r>
          </w:p>
          <w:p w:rsidR="00F36C29" w:rsidRPr="0064738E" w:rsidRDefault="0019045D" w:rsidP="003A4DA2">
            <w:pPr>
              <w:spacing w:before="60" w:after="120" w:line="240" w:lineRule="auto"/>
              <w:ind w:left="142" w:right="113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64738E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0EE17909" wp14:editId="7AED0D22">
                  <wp:simplePos x="0" y="0"/>
                  <wp:positionH relativeFrom="column">
                    <wp:posOffset>5305202</wp:posOffset>
                  </wp:positionH>
                  <wp:positionV relativeFrom="paragraph">
                    <wp:posOffset>107572</wp:posOffset>
                  </wp:positionV>
                  <wp:extent cx="571500" cy="565785"/>
                  <wp:effectExtent l="0" t="0" r="0" b="5715"/>
                  <wp:wrapNone/>
                  <wp:docPr id="8" name="Picture 8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="00F36C29" w:rsidRPr="0064738E">
                <w:rPr>
                  <w:rStyle w:val="Hyperlink"/>
                  <w:rFonts w:ascii="Arial" w:hAnsi="Arial" w:cs="Arial"/>
                  <w:sz w:val="16"/>
                  <w:szCs w:val="16"/>
                </w:rPr>
                <w:t>www.coface.com</w:t>
              </w:r>
            </w:hyperlink>
          </w:p>
          <w:p w:rsidR="00F36C29" w:rsidRPr="0064738E" w:rsidRDefault="00F36C29" w:rsidP="003A4DA2">
            <w:pPr>
              <w:tabs>
                <w:tab w:val="left" w:pos="8202"/>
              </w:tabs>
              <w:autoSpaceDE w:val="0"/>
              <w:autoSpaceDN w:val="0"/>
              <w:adjustRightInd w:val="0"/>
              <w:spacing w:after="120" w:line="240" w:lineRule="auto"/>
              <w:ind w:left="142" w:right="158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738E">
              <w:rPr>
                <w:rFonts w:ascii="Arial" w:hAnsi="Arial" w:cs="Arial"/>
                <w:sz w:val="16"/>
                <w:szCs w:val="18"/>
              </w:rPr>
              <w:t>COFACE SA. este listat Euronext Paris – Compartment A</w:t>
            </w:r>
          </w:p>
          <w:p w:rsidR="00F36C29" w:rsidRPr="0064738E" w:rsidRDefault="00F36C29" w:rsidP="003A4DA2">
            <w:pPr>
              <w:tabs>
                <w:tab w:val="left" w:pos="8202"/>
              </w:tabs>
              <w:autoSpaceDE w:val="0"/>
              <w:autoSpaceDN w:val="0"/>
              <w:adjustRightInd w:val="0"/>
              <w:spacing w:after="120" w:line="240" w:lineRule="auto"/>
              <w:ind w:left="142" w:right="158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738E">
              <w:rPr>
                <w:rFonts w:ascii="Arial" w:hAnsi="Arial" w:cs="Arial"/>
                <w:sz w:val="16"/>
                <w:szCs w:val="18"/>
              </w:rPr>
              <w:t>ISIN: FR0010667147 / Ticker: COFA</w:t>
            </w:r>
          </w:p>
        </w:tc>
      </w:tr>
    </w:tbl>
    <w:p w:rsidR="00E7339F" w:rsidRPr="0064738E" w:rsidRDefault="00E7339F" w:rsidP="003A4DA2">
      <w:pPr>
        <w:spacing w:after="120" w:line="240" w:lineRule="auto"/>
        <w:jc w:val="both"/>
        <w:rPr>
          <w:rFonts w:ascii="Arial" w:eastAsia="Arial" w:hAnsi="Arial" w:cs="Arial"/>
          <w:b/>
          <w:lang w:bidi="ro-RO"/>
        </w:rPr>
      </w:pPr>
    </w:p>
    <w:p w:rsidR="00E7339F" w:rsidRPr="0064738E" w:rsidRDefault="00E7339F" w:rsidP="003A4DA2">
      <w:pPr>
        <w:spacing w:after="120" w:line="240" w:lineRule="auto"/>
        <w:jc w:val="both"/>
        <w:rPr>
          <w:rFonts w:ascii="Arial" w:eastAsia="Arial" w:hAnsi="Arial" w:cs="Arial"/>
          <w:b/>
          <w:lang w:bidi="ro-RO"/>
        </w:rPr>
      </w:pPr>
    </w:p>
    <w:p w:rsidR="00E7339F" w:rsidRPr="0064738E" w:rsidRDefault="00E7339F" w:rsidP="003A4DA2">
      <w:pPr>
        <w:spacing w:after="120" w:line="240" w:lineRule="auto"/>
        <w:jc w:val="both"/>
        <w:rPr>
          <w:rFonts w:ascii="Arial" w:eastAsia="Arial" w:hAnsi="Arial" w:cs="Arial"/>
          <w:b/>
          <w:lang w:bidi="ro-RO"/>
        </w:rPr>
      </w:pPr>
    </w:p>
    <w:sectPr w:rsidR="00E7339F" w:rsidRPr="0064738E" w:rsidSect="00D41C4A">
      <w:headerReference w:type="default" r:id="rId11"/>
      <w:type w:val="continuous"/>
      <w:pgSz w:w="11906" w:h="16838"/>
      <w:pgMar w:top="3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80" w:rsidRDefault="00A24A80" w:rsidP="00A24A80">
      <w:pPr>
        <w:spacing w:after="0" w:line="240" w:lineRule="auto"/>
      </w:pPr>
      <w:r>
        <w:separator/>
      </w:r>
    </w:p>
  </w:endnote>
  <w:endnote w:type="continuationSeparator" w:id="0">
    <w:p w:rsidR="00A24A80" w:rsidRDefault="00A24A80" w:rsidP="00A2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80" w:rsidRDefault="00A24A80" w:rsidP="00A24A80">
      <w:pPr>
        <w:spacing w:after="0" w:line="240" w:lineRule="auto"/>
      </w:pPr>
      <w:r>
        <w:separator/>
      </w:r>
    </w:p>
  </w:footnote>
  <w:footnote w:type="continuationSeparator" w:id="0">
    <w:p w:rsidR="00A24A80" w:rsidRDefault="00A24A80" w:rsidP="00A2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80" w:rsidRDefault="00A24A80">
    <w:pPr>
      <w:pStyle w:val="Header"/>
    </w:pPr>
    <w:r>
      <w:rPr>
        <w:noProof/>
        <w:lang w:val="en-US"/>
      </w:rPr>
      <w:drawing>
        <wp:anchor distT="0" distB="0" distL="114935" distR="114935" simplePos="0" relativeHeight="251656192" behindDoc="1" locked="0" layoutInCell="1" allowOverlap="1" wp14:anchorId="77D48914" wp14:editId="2F9BC003">
          <wp:simplePos x="0" y="0"/>
          <wp:positionH relativeFrom="column">
            <wp:posOffset>55880</wp:posOffset>
          </wp:positionH>
          <wp:positionV relativeFrom="page">
            <wp:posOffset>485641</wp:posOffset>
          </wp:positionV>
          <wp:extent cx="5761990" cy="1315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31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25E5F5E" wp14:editId="197D528C">
              <wp:simplePos x="0" y="0"/>
              <wp:positionH relativeFrom="column">
                <wp:posOffset>55713</wp:posOffset>
              </wp:positionH>
              <wp:positionV relativeFrom="page">
                <wp:posOffset>1540276</wp:posOffset>
              </wp:positionV>
              <wp:extent cx="6021070" cy="330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A80" w:rsidRPr="00CD6F14" w:rsidRDefault="00A24A80" w:rsidP="0026109F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300"/>
                              <w:sz w:val="26"/>
                              <w:szCs w:val="26"/>
                            </w:rPr>
                          </w:pPr>
                          <w:r w:rsidRPr="00CD6F14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300"/>
                              <w:sz w:val="26"/>
                              <w:szCs w:val="26"/>
                              <w:lang w:val="en-US"/>
                            </w:rPr>
                            <w:t>COMUNICAT DE PRES</w:t>
                          </w:r>
                          <w:r w:rsidR="00516A5C"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300"/>
                              <w:sz w:val="26"/>
                              <w:szCs w:val="26"/>
                            </w:rPr>
                            <w:t>A</w:t>
                          </w:r>
                        </w:p>
                        <w:p w:rsidR="00A24A80" w:rsidRPr="00671C94" w:rsidRDefault="00A24A80" w:rsidP="0026109F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E5F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.4pt;margin-top:121.3pt;width:474.1pt;height:26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O5igIAABwFAAAOAAAAZHJzL2Uyb0RvYy54bWysVNuO2yAQfa/Uf0C8Z22n3mxsrbPaS1NV&#10;2l6k3X4AARyjYqBAYm+r/nsHiLOb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" stroked="f">
              <v:fill opacity="0"/>
              <v:textbox inset="0,0,0,0">
                <w:txbxContent>
                  <w:p w:rsidR="00A24A80" w:rsidRPr="00CD6F14" w:rsidRDefault="00A24A80" w:rsidP="0026109F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300"/>
                        <w:sz w:val="26"/>
                        <w:szCs w:val="26"/>
                      </w:rPr>
                    </w:pPr>
                    <w:r w:rsidRPr="00CD6F14">
                      <w:rPr>
                        <w:rFonts w:ascii="Arial" w:hAnsi="Arial" w:cs="Arial"/>
                        <w:b/>
                        <w:bCs/>
                        <w:color w:val="4FA76E"/>
                        <w:spacing w:val="300"/>
                        <w:sz w:val="26"/>
                        <w:szCs w:val="26"/>
                        <w:lang w:val="en-US"/>
                      </w:rPr>
                      <w:t>COMUNICAT DE PRES</w:t>
                    </w:r>
                    <w:r w:rsidR="00516A5C">
                      <w:rPr>
                        <w:rFonts w:ascii="Arial" w:hAnsi="Arial" w:cs="Arial"/>
                        <w:b/>
                        <w:bCs/>
                        <w:color w:val="4FA76E"/>
                        <w:spacing w:val="300"/>
                        <w:sz w:val="26"/>
                        <w:szCs w:val="26"/>
                      </w:rPr>
                      <w:t>A</w:t>
                    </w:r>
                  </w:p>
                  <w:p w:rsidR="00A24A80" w:rsidRPr="00671C94" w:rsidRDefault="00A24A80" w:rsidP="0026109F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61D"/>
    <w:multiLevelType w:val="multilevel"/>
    <w:tmpl w:val="BA444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B85745B"/>
    <w:multiLevelType w:val="hybridMultilevel"/>
    <w:tmpl w:val="108C45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70E6"/>
    <w:multiLevelType w:val="multilevel"/>
    <w:tmpl w:val="08424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67465BF"/>
    <w:multiLevelType w:val="hybridMultilevel"/>
    <w:tmpl w:val="34DAEAC8"/>
    <w:lvl w:ilvl="0" w:tplc="A1887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33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2F52"/>
    <w:multiLevelType w:val="hybridMultilevel"/>
    <w:tmpl w:val="717C092A"/>
    <w:lvl w:ilvl="0" w:tplc="D690D85A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134B"/>
    <w:multiLevelType w:val="hybridMultilevel"/>
    <w:tmpl w:val="D646FB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4C99"/>
    <w:multiLevelType w:val="hybridMultilevel"/>
    <w:tmpl w:val="7F0EE122"/>
    <w:lvl w:ilvl="0" w:tplc="1756BF6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741FC"/>
    <w:multiLevelType w:val="hybridMultilevel"/>
    <w:tmpl w:val="67BC30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03465"/>
    <w:multiLevelType w:val="hybridMultilevel"/>
    <w:tmpl w:val="26EA2BA4"/>
    <w:lvl w:ilvl="0" w:tplc="9E269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33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E5E2D"/>
    <w:multiLevelType w:val="hybridMultilevel"/>
    <w:tmpl w:val="6512F3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E7B76"/>
    <w:multiLevelType w:val="hybridMultilevel"/>
    <w:tmpl w:val="5BA88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A14C8"/>
    <w:multiLevelType w:val="hybridMultilevel"/>
    <w:tmpl w:val="DA6A9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92"/>
    <w:rsid w:val="0000352D"/>
    <w:rsid w:val="000078C4"/>
    <w:rsid w:val="00015AE0"/>
    <w:rsid w:val="00017CBE"/>
    <w:rsid w:val="00024E7F"/>
    <w:rsid w:val="00037B66"/>
    <w:rsid w:val="000533AC"/>
    <w:rsid w:val="0005499F"/>
    <w:rsid w:val="00071EB4"/>
    <w:rsid w:val="00074CE0"/>
    <w:rsid w:val="00097BD3"/>
    <w:rsid w:val="000A30D8"/>
    <w:rsid w:val="000A5738"/>
    <w:rsid w:val="000B1B78"/>
    <w:rsid w:val="000D0B07"/>
    <w:rsid w:val="000E643C"/>
    <w:rsid w:val="000F39A5"/>
    <w:rsid w:val="00101CD0"/>
    <w:rsid w:val="00110CFC"/>
    <w:rsid w:val="001167B6"/>
    <w:rsid w:val="00135BBC"/>
    <w:rsid w:val="0013710E"/>
    <w:rsid w:val="00150189"/>
    <w:rsid w:val="00150858"/>
    <w:rsid w:val="00154675"/>
    <w:rsid w:val="0016517B"/>
    <w:rsid w:val="001731FF"/>
    <w:rsid w:val="001775ED"/>
    <w:rsid w:val="0019045D"/>
    <w:rsid w:val="0019793A"/>
    <w:rsid w:val="001C14C5"/>
    <w:rsid w:val="001D445D"/>
    <w:rsid w:val="001E0DED"/>
    <w:rsid w:val="001E3F48"/>
    <w:rsid w:val="00204C9F"/>
    <w:rsid w:val="00207FD8"/>
    <w:rsid w:val="002221D9"/>
    <w:rsid w:val="00233427"/>
    <w:rsid w:val="00260CF8"/>
    <w:rsid w:val="002649BF"/>
    <w:rsid w:val="002712BA"/>
    <w:rsid w:val="002A29C4"/>
    <w:rsid w:val="002A31DC"/>
    <w:rsid w:val="002A511A"/>
    <w:rsid w:val="002B3BE1"/>
    <w:rsid w:val="002B4939"/>
    <w:rsid w:val="002D2389"/>
    <w:rsid w:val="002E5C2D"/>
    <w:rsid w:val="002E664B"/>
    <w:rsid w:val="002F0A30"/>
    <w:rsid w:val="002F4AFC"/>
    <w:rsid w:val="002F5C52"/>
    <w:rsid w:val="00304991"/>
    <w:rsid w:val="00314074"/>
    <w:rsid w:val="00334AB7"/>
    <w:rsid w:val="00336675"/>
    <w:rsid w:val="003422E2"/>
    <w:rsid w:val="00345253"/>
    <w:rsid w:val="003521B9"/>
    <w:rsid w:val="003562CD"/>
    <w:rsid w:val="003646D5"/>
    <w:rsid w:val="00377A74"/>
    <w:rsid w:val="00393D83"/>
    <w:rsid w:val="003A1139"/>
    <w:rsid w:val="003A4DA2"/>
    <w:rsid w:val="003A78B3"/>
    <w:rsid w:val="003C3964"/>
    <w:rsid w:val="003D1B68"/>
    <w:rsid w:val="003D2A0E"/>
    <w:rsid w:val="003D482E"/>
    <w:rsid w:val="003E238A"/>
    <w:rsid w:val="003F35C7"/>
    <w:rsid w:val="004063D8"/>
    <w:rsid w:val="00424940"/>
    <w:rsid w:val="00425E55"/>
    <w:rsid w:val="00426AF4"/>
    <w:rsid w:val="00434966"/>
    <w:rsid w:val="00481F88"/>
    <w:rsid w:val="004A6954"/>
    <w:rsid w:val="004D68F4"/>
    <w:rsid w:val="004D7227"/>
    <w:rsid w:val="004F518C"/>
    <w:rsid w:val="00502508"/>
    <w:rsid w:val="00505031"/>
    <w:rsid w:val="00506978"/>
    <w:rsid w:val="00516A5C"/>
    <w:rsid w:val="0052231E"/>
    <w:rsid w:val="00562721"/>
    <w:rsid w:val="005A00F1"/>
    <w:rsid w:val="005C1BCA"/>
    <w:rsid w:val="005C57B5"/>
    <w:rsid w:val="005D44BA"/>
    <w:rsid w:val="005F332A"/>
    <w:rsid w:val="00602E22"/>
    <w:rsid w:val="0061222E"/>
    <w:rsid w:val="0062311F"/>
    <w:rsid w:val="006461F2"/>
    <w:rsid w:val="0064738E"/>
    <w:rsid w:val="00662653"/>
    <w:rsid w:val="0067374B"/>
    <w:rsid w:val="006861C1"/>
    <w:rsid w:val="00693E96"/>
    <w:rsid w:val="006C0FEB"/>
    <w:rsid w:val="006C393A"/>
    <w:rsid w:val="006D79EE"/>
    <w:rsid w:val="006E3A33"/>
    <w:rsid w:val="006E4363"/>
    <w:rsid w:val="006F5ADF"/>
    <w:rsid w:val="007201C0"/>
    <w:rsid w:val="007409A1"/>
    <w:rsid w:val="00746B1A"/>
    <w:rsid w:val="00792E93"/>
    <w:rsid w:val="0079356D"/>
    <w:rsid w:val="007A10AA"/>
    <w:rsid w:val="007A6EB0"/>
    <w:rsid w:val="007B140E"/>
    <w:rsid w:val="008026BC"/>
    <w:rsid w:val="00820822"/>
    <w:rsid w:val="0083299D"/>
    <w:rsid w:val="0085170A"/>
    <w:rsid w:val="008674DF"/>
    <w:rsid w:val="008924CF"/>
    <w:rsid w:val="008A593E"/>
    <w:rsid w:val="008B34A6"/>
    <w:rsid w:val="008C0155"/>
    <w:rsid w:val="008E3245"/>
    <w:rsid w:val="008E6AB2"/>
    <w:rsid w:val="008F1A97"/>
    <w:rsid w:val="008F4D89"/>
    <w:rsid w:val="009127C8"/>
    <w:rsid w:val="009276BF"/>
    <w:rsid w:val="00945385"/>
    <w:rsid w:val="009635E9"/>
    <w:rsid w:val="009652A3"/>
    <w:rsid w:val="00965786"/>
    <w:rsid w:val="009968D7"/>
    <w:rsid w:val="00996D74"/>
    <w:rsid w:val="009C48C6"/>
    <w:rsid w:val="009D15AD"/>
    <w:rsid w:val="009D1F08"/>
    <w:rsid w:val="009D6D59"/>
    <w:rsid w:val="009D7DBC"/>
    <w:rsid w:val="009E4E9F"/>
    <w:rsid w:val="00A20468"/>
    <w:rsid w:val="00A24A80"/>
    <w:rsid w:val="00A45B05"/>
    <w:rsid w:val="00A6191A"/>
    <w:rsid w:val="00A647F6"/>
    <w:rsid w:val="00A65BB4"/>
    <w:rsid w:val="00A67491"/>
    <w:rsid w:val="00A8575D"/>
    <w:rsid w:val="00A91B46"/>
    <w:rsid w:val="00AA7C40"/>
    <w:rsid w:val="00AC1259"/>
    <w:rsid w:val="00AD17C1"/>
    <w:rsid w:val="00AD1CE4"/>
    <w:rsid w:val="00AD4710"/>
    <w:rsid w:val="00AE7D88"/>
    <w:rsid w:val="00B00A0B"/>
    <w:rsid w:val="00B147C3"/>
    <w:rsid w:val="00B2400E"/>
    <w:rsid w:val="00B24127"/>
    <w:rsid w:val="00B57F92"/>
    <w:rsid w:val="00B758DD"/>
    <w:rsid w:val="00B9668E"/>
    <w:rsid w:val="00BB33F8"/>
    <w:rsid w:val="00BB5068"/>
    <w:rsid w:val="00BD27DF"/>
    <w:rsid w:val="00BE25A8"/>
    <w:rsid w:val="00BF1A39"/>
    <w:rsid w:val="00C208D2"/>
    <w:rsid w:val="00C3115F"/>
    <w:rsid w:val="00C31442"/>
    <w:rsid w:val="00C35E32"/>
    <w:rsid w:val="00C37B5A"/>
    <w:rsid w:val="00C50A85"/>
    <w:rsid w:val="00C51F8B"/>
    <w:rsid w:val="00C5252E"/>
    <w:rsid w:val="00C55424"/>
    <w:rsid w:val="00C6296F"/>
    <w:rsid w:val="00C644E4"/>
    <w:rsid w:val="00C67C9C"/>
    <w:rsid w:val="00CA2580"/>
    <w:rsid w:val="00CC73DB"/>
    <w:rsid w:val="00CD2842"/>
    <w:rsid w:val="00CE242E"/>
    <w:rsid w:val="00CF1D25"/>
    <w:rsid w:val="00D02E37"/>
    <w:rsid w:val="00D069DA"/>
    <w:rsid w:val="00D06DB0"/>
    <w:rsid w:val="00D41C4A"/>
    <w:rsid w:val="00D624E7"/>
    <w:rsid w:val="00D642AA"/>
    <w:rsid w:val="00D7375D"/>
    <w:rsid w:val="00D7428F"/>
    <w:rsid w:val="00D77F3F"/>
    <w:rsid w:val="00DA7D2A"/>
    <w:rsid w:val="00DC3955"/>
    <w:rsid w:val="00E1119D"/>
    <w:rsid w:val="00E17A43"/>
    <w:rsid w:val="00E20C5D"/>
    <w:rsid w:val="00E24D19"/>
    <w:rsid w:val="00E35C86"/>
    <w:rsid w:val="00E44E4B"/>
    <w:rsid w:val="00E51BE3"/>
    <w:rsid w:val="00E5497E"/>
    <w:rsid w:val="00E7339F"/>
    <w:rsid w:val="00E77A42"/>
    <w:rsid w:val="00ED494F"/>
    <w:rsid w:val="00F0527D"/>
    <w:rsid w:val="00F16658"/>
    <w:rsid w:val="00F36C29"/>
    <w:rsid w:val="00F54FB5"/>
    <w:rsid w:val="00F668F5"/>
    <w:rsid w:val="00F91208"/>
    <w:rsid w:val="00FA2FDE"/>
    <w:rsid w:val="00FA68C9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19F07398-6561-46E7-9995-038C2CF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7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7F9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5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57F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80"/>
  </w:style>
  <w:style w:type="paragraph" w:styleId="Footer">
    <w:name w:val="footer"/>
    <w:basedOn w:val="Normal"/>
    <w:link w:val="FooterChar"/>
    <w:uiPriority w:val="99"/>
    <w:unhideWhenUsed/>
    <w:rsid w:val="00A2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80"/>
  </w:style>
  <w:style w:type="paragraph" w:styleId="ListParagraph">
    <w:name w:val="List Paragraph"/>
    <w:basedOn w:val="Normal"/>
    <w:uiPriority w:val="34"/>
    <w:qFormat/>
    <w:rsid w:val="005F332A"/>
    <w:pPr>
      <w:ind w:left="720"/>
      <w:contextualSpacing/>
    </w:pPr>
  </w:style>
  <w:style w:type="table" w:styleId="TableGrid">
    <w:name w:val="Table Grid"/>
    <w:basedOn w:val="TableNormal"/>
    <w:uiPriority w:val="59"/>
    <w:rsid w:val="005F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1B68"/>
    <w:rPr>
      <w:rFonts w:cs="Times New Roman"/>
      <w:color w:val="0000FF"/>
      <w:u w:val="single"/>
    </w:rPr>
  </w:style>
  <w:style w:type="paragraph" w:customStyle="1" w:styleId="Default">
    <w:name w:val="Default"/>
    <w:rsid w:val="006C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val="fr-FR" w:eastAsia="fr-FR"/>
    </w:rPr>
  </w:style>
  <w:style w:type="paragraph" w:customStyle="1" w:styleId="s9">
    <w:name w:val="s9"/>
    <w:basedOn w:val="Normal"/>
    <w:rsid w:val="006C393A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C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ucur@cofa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f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BD2F-8ECC-493F-8548-67AAC4E0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Coface SA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andreea.bucur@coface.com</dc:creator>
  <cp:lastModifiedBy>BUCUR Andreea</cp:lastModifiedBy>
  <cp:revision>161</cp:revision>
  <cp:lastPrinted>2019-08-06T10:41:00Z</cp:lastPrinted>
  <dcterms:created xsi:type="dcterms:W3CDTF">2018-10-08T09:22:00Z</dcterms:created>
  <dcterms:modified xsi:type="dcterms:W3CDTF">2019-08-12T09:30:00Z</dcterms:modified>
</cp:coreProperties>
</file>